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406" w:rsidRDefault="00DB5406" w:rsidP="00EC55FB">
      <w:pPr>
        <w:rPr>
          <w:rFonts w:ascii="SimSun" w:eastAsia="SimSun" w:hAnsi="Times New Roman" w:cs="SimSun"/>
          <w:b/>
          <w:bCs/>
          <w:color w:val="E35205"/>
          <w:sz w:val="36"/>
          <w:szCs w:val="36"/>
          <w:lang w:eastAsia="zh-CN"/>
        </w:rPr>
      </w:pPr>
      <w:r w:rsidRPr="00F02015">
        <w:rPr>
          <w:rFonts w:ascii="SimSun" w:eastAsia="SimSun" w:hAnsi="Times New Roman" w:cs="SimSun" w:hint="eastAsia"/>
          <w:b/>
          <w:bCs/>
          <w:color w:val="E35205"/>
          <w:sz w:val="36"/>
          <w:szCs w:val="36"/>
          <w:lang w:val="zh-CN" w:eastAsia="zh-CN"/>
        </w:rPr>
        <w:t>情况说明：</w:t>
      </w:r>
      <w:r w:rsidRPr="00DB5406">
        <w:rPr>
          <w:rFonts w:ascii="SimSun" w:eastAsia="SimSun" w:hAnsi="Times New Roman" w:cs="SimSun"/>
          <w:b/>
          <w:bCs/>
          <w:color w:val="E35205"/>
          <w:sz w:val="36"/>
          <w:szCs w:val="36"/>
          <w:lang w:val="zh-CN" w:eastAsia="zh-CN"/>
        </w:rPr>
        <w:t>金融服务业</w:t>
      </w:r>
    </w:p>
    <w:p w:rsidR="00DB5406" w:rsidRDefault="00DB5406" w:rsidP="00A37FAF">
      <w:pPr>
        <w:spacing w:before="100" w:beforeAutospacing="1" w:after="100" w:afterAutospacing="1"/>
        <w:contextualSpacing/>
        <w:rPr>
          <w:lang w:val="en-US" w:eastAsia="zh-CN"/>
        </w:rPr>
      </w:pPr>
      <w:r w:rsidRPr="00DB5406">
        <w:rPr>
          <w:lang w:val="en-US" w:eastAsia="zh-CN"/>
        </w:rPr>
        <w:t>根据中国</w:t>
      </w:r>
      <w:r w:rsidRPr="00DB5406">
        <w:rPr>
          <w:lang w:val="en-US" w:eastAsia="zh-CN"/>
        </w:rPr>
        <w:t xml:space="preserve"> - </w:t>
      </w:r>
      <w:r w:rsidRPr="00DB5406">
        <w:rPr>
          <w:lang w:val="en-US" w:eastAsia="zh-CN"/>
        </w:rPr>
        <w:t>澳大利亚自由贸易协定（</w:t>
      </w:r>
      <w:proofErr w:type="spellStart"/>
      <w:r w:rsidRPr="00DB5406">
        <w:rPr>
          <w:lang w:val="en-US" w:eastAsia="zh-CN"/>
        </w:rPr>
        <w:t>ChaFTA</w:t>
      </w:r>
      <w:proofErr w:type="spellEnd"/>
      <w:r w:rsidRPr="00DB5406">
        <w:rPr>
          <w:lang w:val="en-US" w:eastAsia="zh-CN"/>
        </w:rPr>
        <w:t>），澳大利亚和中国已分别向彼此提供了一系列的金融服务业承诺，保证为保险公司、银行、基金管理公司和证券业提供新的或改进的市场准入。</w:t>
      </w:r>
    </w:p>
    <w:p w:rsidR="00DB5406" w:rsidRDefault="00DB5406" w:rsidP="00DB5406">
      <w:pPr>
        <w:spacing w:before="100" w:beforeAutospacing="1" w:after="100" w:afterAutospacing="1"/>
        <w:contextualSpacing/>
        <w:rPr>
          <w:lang w:val="en-US" w:eastAsia="zh-CN"/>
        </w:rPr>
      </w:pPr>
    </w:p>
    <w:p w:rsidR="00DB5406" w:rsidRPr="00DB5406" w:rsidRDefault="00DB5406" w:rsidP="00DB5406">
      <w:pPr>
        <w:spacing w:before="100" w:beforeAutospacing="1" w:after="100" w:afterAutospacing="1"/>
        <w:contextualSpacing/>
        <w:rPr>
          <w:b/>
          <w:lang w:val="en-US" w:eastAsia="zh-CN"/>
        </w:rPr>
      </w:pPr>
      <w:r w:rsidRPr="00DB5406">
        <w:rPr>
          <w:rFonts w:hint="eastAsia"/>
          <w:b/>
          <w:lang w:val="en-US" w:eastAsia="zh-CN"/>
        </w:rPr>
        <w:t>在自由贸易协定下，澳大利亚的承诺：</w:t>
      </w:r>
    </w:p>
    <w:p w:rsidR="00DB5406" w:rsidRPr="00E26317" w:rsidRDefault="00DB5406" w:rsidP="00DB5406">
      <w:pPr>
        <w:pStyle w:val="ListParagraph"/>
        <w:spacing w:before="100" w:beforeAutospacing="1" w:after="100" w:afterAutospacing="1"/>
        <w:rPr>
          <w:lang w:eastAsia="zh-CN"/>
        </w:rPr>
      </w:pPr>
      <w:r w:rsidRPr="00E26317">
        <w:rPr>
          <w:color w:val="222222"/>
          <w:lang w:eastAsia="zh-CN"/>
        </w:rPr>
        <w:t>保证中国商业银行机构</w:t>
      </w:r>
      <w:r>
        <w:rPr>
          <w:rFonts w:hint="eastAsia"/>
          <w:color w:val="222222"/>
          <w:lang w:eastAsia="zh-CN"/>
        </w:rPr>
        <w:t>能够</w:t>
      </w:r>
      <w:r w:rsidRPr="00E26317">
        <w:rPr>
          <w:color w:val="222222"/>
          <w:lang w:eastAsia="zh-CN"/>
        </w:rPr>
        <w:t>在澳大利亚建立</w:t>
      </w:r>
      <w:r>
        <w:rPr>
          <w:rFonts w:hint="eastAsia"/>
          <w:color w:val="222222"/>
          <w:lang w:eastAsia="zh-CN"/>
        </w:rPr>
        <w:t>分支机构</w:t>
      </w:r>
      <w:r w:rsidRPr="00E26317">
        <w:rPr>
          <w:color w:val="222222"/>
          <w:lang w:eastAsia="zh-CN"/>
        </w:rPr>
        <w:t>；并设立简化的执照审批流程。</w:t>
      </w:r>
    </w:p>
    <w:p w:rsidR="00DB5406" w:rsidRPr="00E26317" w:rsidRDefault="00DB5406" w:rsidP="00DB5406">
      <w:pPr>
        <w:pStyle w:val="ListParagraph"/>
        <w:spacing w:before="100" w:beforeAutospacing="1" w:after="100" w:afterAutospacing="1"/>
        <w:rPr>
          <w:lang w:eastAsia="zh-CN"/>
        </w:rPr>
      </w:pPr>
      <w:r w:rsidRPr="00E26317">
        <w:rPr>
          <w:color w:val="222222"/>
          <w:lang w:eastAsia="zh-CN"/>
        </w:rPr>
        <w:t>为中国的人寿保险公司提供新的市场准入，并保证为中国跨境金融服务</w:t>
      </w:r>
      <w:r>
        <w:rPr>
          <w:rFonts w:hint="eastAsia"/>
          <w:color w:val="222222"/>
          <w:lang w:eastAsia="zh-CN"/>
        </w:rPr>
        <w:t>公司</w:t>
      </w:r>
      <w:r w:rsidRPr="00E26317">
        <w:rPr>
          <w:color w:val="222222"/>
          <w:lang w:eastAsia="zh-CN"/>
        </w:rPr>
        <w:t>提供准入</w:t>
      </w:r>
    </w:p>
    <w:p w:rsidR="00DB5406" w:rsidRPr="00E26317" w:rsidRDefault="00DB5406" w:rsidP="00DB5406">
      <w:pPr>
        <w:pStyle w:val="ListParagraph"/>
        <w:spacing w:before="100" w:beforeAutospacing="1" w:after="100" w:afterAutospacing="1"/>
        <w:rPr>
          <w:color w:val="222222"/>
          <w:lang w:eastAsia="zh-CN"/>
        </w:rPr>
      </w:pPr>
      <w:r w:rsidRPr="00E26317">
        <w:rPr>
          <w:color w:val="222222"/>
          <w:lang w:eastAsia="zh-CN"/>
        </w:rPr>
        <w:t>就监管政策框架和金融服务业审慎监管事宜，澳大利亚和中国都承诺加强合作与信息共享</w:t>
      </w:r>
    </w:p>
    <w:p w:rsidR="00DB5406" w:rsidRPr="00E26317" w:rsidRDefault="00DB5406" w:rsidP="00DB5406">
      <w:pPr>
        <w:pStyle w:val="ListParagraph"/>
        <w:spacing w:before="100" w:beforeAutospacing="1" w:after="100" w:afterAutospacing="1"/>
        <w:rPr>
          <w:lang w:eastAsia="zh-CN"/>
        </w:rPr>
      </w:pPr>
      <w:r w:rsidRPr="00E26317">
        <w:rPr>
          <w:color w:val="222222"/>
          <w:lang w:eastAsia="zh-CN"/>
        </w:rPr>
        <w:t>中国金融机构</w:t>
      </w:r>
      <w:r>
        <w:rPr>
          <w:rFonts w:hint="eastAsia"/>
          <w:color w:val="222222"/>
          <w:lang w:eastAsia="zh-CN"/>
        </w:rPr>
        <w:t>有可能</w:t>
      </w:r>
      <w:r w:rsidRPr="00E26317">
        <w:rPr>
          <w:color w:val="222222"/>
          <w:lang w:eastAsia="zh-CN"/>
        </w:rPr>
        <w:t>参与储备银行信息</w:t>
      </w:r>
      <w:r>
        <w:rPr>
          <w:rFonts w:hint="eastAsia"/>
          <w:color w:val="222222"/>
          <w:lang w:eastAsia="zh-CN"/>
        </w:rPr>
        <w:t>和</w:t>
      </w:r>
      <w:r w:rsidRPr="00E26317">
        <w:rPr>
          <w:color w:val="222222"/>
          <w:lang w:eastAsia="zh-CN"/>
        </w:rPr>
        <w:t>传输系统（</w:t>
      </w:r>
      <w:r w:rsidRPr="00E26317">
        <w:rPr>
          <w:color w:val="222222"/>
          <w:lang w:eastAsia="zh-CN"/>
        </w:rPr>
        <w:t>RITS</w:t>
      </w:r>
      <w:r w:rsidRPr="00E26317">
        <w:rPr>
          <w:color w:val="222222"/>
          <w:lang w:eastAsia="zh-CN"/>
        </w:rPr>
        <w:t>）</w:t>
      </w:r>
    </w:p>
    <w:p w:rsidR="00DB5406" w:rsidRPr="00E26317" w:rsidRDefault="00DB5406" w:rsidP="002935BB">
      <w:pPr>
        <w:pStyle w:val="ListParagraph"/>
        <w:spacing w:before="100" w:beforeAutospacing="1" w:after="100" w:afterAutospacing="1"/>
        <w:rPr>
          <w:rFonts w:eastAsia="Times New Roman"/>
          <w:lang w:val="en-US" w:eastAsia="zh-CN"/>
        </w:rPr>
      </w:pPr>
      <w:r w:rsidRPr="00E26317">
        <w:rPr>
          <w:color w:val="222222"/>
          <w:lang w:eastAsia="zh-CN"/>
        </w:rPr>
        <w:t>建立中国银行（悉尼）作为正式的人民币（</w:t>
      </w:r>
      <w:r w:rsidRPr="00E26317">
        <w:rPr>
          <w:color w:val="222222"/>
          <w:lang w:eastAsia="zh-CN"/>
        </w:rPr>
        <w:t>RMB</w:t>
      </w:r>
      <w:r w:rsidRPr="00E26317">
        <w:rPr>
          <w:color w:val="222222"/>
          <w:lang w:eastAsia="zh-CN"/>
        </w:rPr>
        <w:t>）清算行，为跨境人民币交易提供更为直接的渠道，改善</w:t>
      </w:r>
      <w:r>
        <w:rPr>
          <w:color w:val="222222"/>
          <w:lang w:eastAsia="zh-CN"/>
        </w:rPr>
        <w:t>跨境人民币交易</w:t>
      </w:r>
      <w:r w:rsidRPr="00E26317">
        <w:rPr>
          <w:color w:val="222222"/>
          <w:lang w:eastAsia="zh-CN"/>
        </w:rPr>
        <w:t>效率</w:t>
      </w:r>
      <w:bookmarkStart w:id="0" w:name="_GoBack"/>
      <w:bookmarkEnd w:id="0"/>
    </w:p>
    <w:p w:rsidR="00DB5406" w:rsidRDefault="00DB5406" w:rsidP="00DB5406">
      <w:pPr>
        <w:ind w:left="357" w:hanging="357"/>
        <w:rPr>
          <w:b/>
          <w:lang w:val="en-US" w:eastAsia="zh-CN"/>
        </w:rPr>
      </w:pPr>
      <w:r w:rsidRPr="00DB5406">
        <w:rPr>
          <w:rFonts w:hint="eastAsia"/>
          <w:b/>
          <w:lang w:val="en-US" w:eastAsia="zh-CN"/>
        </w:rPr>
        <w:t>在自由贸易协定下，中国的承诺：</w:t>
      </w:r>
    </w:p>
    <w:p w:rsidR="00DB5406" w:rsidRPr="00E26317" w:rsidRDefault="00DB5406" w:rsidP="00DB5406">
      <w:pPr>
        <w:pStyle w:val="ListParagraph"/>
        <w:spacing w:before="100" w:beforeAutospacing="1" w:after="100" w:afterAutospacing="1"/>
        <w:rPr>
          <w:rFonts w:eastAsia="Times New Roman"/>
          <w:lang w:val="en-US" w:eastAsia="zh-CN"/>
        </w:rPr>
      </w:pPr>
      <w:r w:rsidRPr="00E26317">
        <w:rPr>
          <w:rFonts w:eastAsia="SimSun"/>
          <w:color w:val="222222"/>
          <w:lang w:eastAsia="zh-CN"/>
        </w:rPr>
        <w:t>为银行、证券和期货提供新的市场准入</w:t>
      </w:r>
    </w:p>
    <w:p w:rsidR="00DB5406" w:rsidRPr="00DB5406" w:rsidRDefault="00DB5406" w:rsidP="00DB5406">
      <w:pPr>
        <w:pStyle w:val="ListParagraph"/>
        <w:spacing w:before="100" w:beforeAutospacing="1" w:after="100" w:afterAutospacing="1"/>
        <w:rPr>
          <w:rFonts w:eastAsia="Times New Roman"/>
          <w:lang w:val="en-US" w:eastAsia="zh-CN"/>
        </w:rPr>
      </w:pPr>
      <w:r w:rsidRPr="00E26317">
        <w:rPr>
          <w:color w:val="222222"/>
          <w:lang w:eastAsia="zh-CN"/>
        </w:rPr>
        <w:t>保证向澳大利亚的保险、基金管理和证券化服务提供高于并且优于中国</w:t>
      </w:r>
      <w:r>
        <w:rPr>
          <w:rFonts w:hint="eastAsia"/>
          <w:color w:val="222222"/>
          <w:lang w:eastAsia="zh-CN"/>
        </w:rPr>
        <w:t>加入世贸组织时</w:t>
      </w:r>
      <w:r w:rsidRPr="00E26317">
        <w:rPr>
          <w:color w:val="222222"/>
          <w:lang w:eastAsia="zh-CN"/>
        </w:rPr>
        <w:t>承诺的准入</w:t>
      </w:r>
    </w:p>
    <w:p w:rsidR="00DB5406" w:rsidRPr="00DB5406" w:rsidRDefault="00DB5406" w:rsidP="00DB5406">
      <w:pPr>
        <w:pStyle w:val="ListParagraph"/>
        <w:spacing w:before="100" w:beforeAutospacing="1" w:after="100" w:afterAutospacing="1"/>
        <w:rPr>
          <w:rFonts w:eastAsia="Times New Roman"/>
          <w:lang w:val="en-US" w:eastAsia="zh-CN"/>
        </w:rPr>
      </w:pPr>
      <w:r w:rsidRPr="00DB5406">
        <w:rPr>
          <w:rFonts w:hint="eastAsia"/>
          <w:color w:val="222222"/>
          <w:lang w:eastAsia="zh-CN"/>
        </w:rPr>
        <w:t>襄助</w:t>
      </w:r>
      <w:r w:rsidRPr="00DB5406">
        <w:rPr>
          <w:color w:val="222222"/>
          <w:lang w:eastAsia="zh-CN"/>
        </w:rPr>
        <w:t>新兴</w:t>
      </w:r>
      <w:r w:rsidRPr="00DB5406">
        <w:rPr>
          <w:rFonts w:hint="eastAsia"/>
          <w:color w:val="222222"/>
          <w:lang w:eastAsia="zh-CN"/>
        </w:rPr>
        <w:t>商机</w:t>
      </w:r>
      <w:r w:rsidRPr="00DB5406">
        <w:rPr>
          <w:color w:val="222222"/>
          <w:lang w:eastAsia="zh-CN"/>
        </w:rPr>
        <w:t>领域</w:t>
      </w:r>
      <w:r w:rsidRPr="00DB5406">
        <w:rPr>
          <w:rFonts w:hint="eastAsia"/>
          <w:color w:val="222222"/>
          <w:lang w:eastAsia="zh-CN"/>
        </w:rPr>
        <w:t>的</w:t>
      </w:r>
      <w:r w:rsidRPr="00DB5406">
        <w:rPr>
          <w:color w:val="222222"/>
          <w:lang w:eastAsia="zh-CN"/>
        </w:rPr>
        <w:t>合作</w:t>
      </w:r>
    </w:p>
    <w:p w:rsidR="00DB5406" w:rsidRPr="00DB5406" w:rsidRDefault="00DB5406" w:rsidP="00DB5406">
      <w:pPr>
        <w:pStyle w:val="ListParagraph"/>
        <w:spacing w:before="100" w:beforeAutospacing="1" w:after="100" w:afterAutospacing="1"/>
        <w:rPr>
          <w:rFonts w:eastAsia="Times New Roman"/>
          <w:lang w:val="en-US" w:eastAsia="zh-CN"/>
        </w:rPr>
      </w:pPr>
      <w:r w:rsidRPr="00DB5406">
        <w:rPr>
          <w:color w:val="222222"/>
          <w:lang w:eastAsia="zh-CN"/>
        </w:rPr>
        <w:t>随着中国经济改革和自由化进程，制定未来工作计划，持续推进金融服务业的市场准入</w:t>
      </w:r>
    </w:p>
    <w:p w:rsidR="00DB5406" w:rsidRDefault="00DB5406" w:rsidP="00DB5406">
      <w:pPr>
        <w:spacing w:before="100" w:beforeAutospacing="1" w:after="100" w:afterAutospacing="1"/>
        <w:contextualSpacing/>
        <w:rPr>
          <w:lang w:eastAsia="zh-CN"/>
        </w:rPr>
      </w:pPr>
      <w:r w:rsidRPr="00E26317">
        <w:rPr>
          <w:lang w:eastAsia="zh-CN"/>
        </w:rPr>
        <w:t>中国已经首次展开对金融服务全面条约级别承诺，包括</w:t>
      </w:r>
      <w:r>
        <w:rPr>
          <w:rFonts w:hint="eastAsia"/>
          <w:lang w:eastAsia="zh-CN"/>
        </w:rPr>
        <w:t>提高</w:t>
      </w:r>
      <w:r w:rsidRPr="00E26317">
        <w:rPr>
          <w:lang w:eastAsia="zh-CN"/>
        </w:rPr>
        <w:t>透明度、</w:t>
      </w:r>
      <w:r>
        <w:rPr>
          <w:rFonts w:hint="eastAsia"/>
          <w:lang w:eastAsia="zh-CN"/>
        </w:rPr>
        <w:t>改善</w:t>
      </w:r>
      <w:r w:rsidRPr="00E26317">
        <w:rPr>
          <w:lang w:eastAsia="zh-CN"/>
        </w:rPr>
        <w:t>监管决策规定，以及简化金融服务执照申请程序。</w:t>
      </w:r>
    </w:p>
    <w:p w:rsidR="00DB5406" w:rsidRDefault="00DB5406" w:rsidP="00DB5406">
      <w:pPr>
        <w:spacing w:before="100" w:beforeAutospacing="1" w:after="100" w:afterAutospacing="1"/>
        <w:contextualSpacing/>
        <w:rPr>
          <w:rFonts w:eastAsia="SimSun"/>
          <w:color w:val="222222"/>
          <w:lang w:eastAsia="zh-CN"/>
        </w:rPr>
      </w:pPr>
      <w:r w:rsidRPr="00E26317">
        <w:rPr>
          <w:lang w:eastAsia="zh-CN"/>
        </w:rPr>
        <w:br/>
      </w:r>
      <w:r w:rsidRPr="00E26317">
        <w:rPr>
          <w:color w:val="222222"/>
          <w:lang w:eastAsia="zh-CN"/>
        </w:rPr>
        <w:t>在自贸协定下将设立金融服务委员会，为中国和澳大利亚金融监管机构就共同关心的问题安排定期合作，</w:t>
      </w:r>
      <w:r>
        <w:rPr>
          <w:rFonts w:hint="eastAsia"/>
          <w:color w:val="222222"/>
          <w:lang w:eastAsia="zh-CN"/>
        </w:rPr>
        <w:t>力求</w:t>
      </w:r>
      <w:r w:rsidRPr="00E26317">
        <w:rPr>
          <w:color w:val="222222"/>
          <w:lang w:eastAsia="zh-CN"/>
        </w:rPr>
        <w:t>快速高效地解决双边金融服务关系中出现的问题</w:t>
      </w:r>
      <w:r w:rsidRPr="00E26317">
        <w:rPr>
          <w:rFonts w:eastAsia="SimSun"/>
          <w:color w:val="222222"/>
          <w:lang w:eastAsia="zh-CN"/>
        </w:rPr>
        <w:t>。双方已确定了一系列深入合作的领域，包括鼓励澳大利亚私募股权基金在中国的投资。</w:t>
      </w:r>
    </w:p>
    <w:p w:rsidR="00DB5406" w:rsidRDefault="00DB5406" w:rsidP="00DB5406">
      <w:pPr>
        <w:spacing w:before="100" w:beforeAutospacing="1" w:after="100" w:afterAutospacing="1"/>
        <w:contextualSpacing/>
        <w:rPr>
          <w:rFonts w:eastAsia="SimSun"/>
          <w:color w:val="222222"/>
          <w:lang w:eastAsia="zh-CN"/>
        </w:rPr>
      </w:pPr>
    </w:p>
    <w:p w:rsidR="00DB5406" w:rsidRPr="00E26317" w:rsidRDefault="00DB5406" w:rsidP="00A37FAF">
      <w:pPr>
        <w:spacing w:before="100" w:beforeAutospacing="1" w:after="80"/>
        <w:contextualSpacing/>
        <w:rPr>
          <w:lang w:val="en-US" w:eastAsia="zh-CN"/>
        </w:rPr>
      </w:pPr>
      <w:r w:rsidRPr="00E26317">
        <w:rPr>
          <w:color w:val="222222"/>
          <w:lang w:eastAsia="zh-CN"/>
        </w:rPr>
        <w:t>中国首次授予澳大利亚人民币合格境外机构投资者（</w:t>
      </w:r>
      <w:r w:rsidRPr="00E26317">
        <w:rPr>
          <w:color w:val="222222"/>
          <w:lang w:eastAsia="zh-CN"/>
        </w:rPr>
        <w:t>RQFII</w:t>
      </w:r>
      <w:r w:rsidRPr="00E26317">
        <w:rPr>
          <w:color w:val="222222"/>
          <w:lang w:eastAsia="zh-CN"/>
        </w:rPr>
        <w:t>）试点计划中</w:t>
      </w:r>
      <w:r w:rsidRPr="00E26317">
        <w:rPr>
          <w:color w:val="222222"/>
          <w:lang w:eastAsia="zh-CN"/>
        </w:rPr>
        <w:t>500</w:t>
      </w:r>
      <w:r w:rsidRPr="00E26317">
        <w:rPr>
          <w:color w:val="222222"/>
          <w:lang w:eastAsia="zh-CN"/>
        </w:rPr>
        <w:t>亿</w:t>
      </w:r>
      <w:r>
        <w:rPr>
          <w:rFonts w:hint="eastAsia"/>
          <w:color w:val="222222"/>
          <w:lang w:eastAsia="zh-CN"/>
        </w:rPr>
        <w:t>元</w:t>
      </w:r>
      <w:r w:rsidRPr="00E26317">
        <w:rPr>
          <w:color w:val="222222"/>
          <w:lang w:eastAsia="zh-CN"/>
        </w:rPr>
        <w:t>的人民币额度，允许澳大利亚金融机构将离岸人民币投资至中国境内的金融市场。这包括中国境内证券市场，对澳大利亚基金管理业</w:t>
      </w:r>
      <w:r>
        <w:rPr>
          <w:rFonts w:hint="eastAsia"/>
          <w:color w:val="222222"/>
          <w:lang w:eastAsia="zh-CN"/>
        </w:rPr>
        <w:t>而言，</w:t>
      </w:r>
      <w:r w:rsidRPr="00E26317">
        <w:rPr>
          <w:color w:val="222222"/>
          <w:lang w:eastAsia="zh-CN"/>
        </w:rPr>
        <w:t>具有显著增长潜力</w:t>
      </w:r>
      <w:r w:rsidRPr="00E26317">
        <w:rPr>
          <w:rFonts w:eastAsia="SimSun"/>
          <w:color w:val="222222"/>
          <w:lang w:eastAsia="zh-CN"/>
        </w:rPr>
        <w:t>。</w:t>
      </w:r>
    </w:p>
    <w:p w:rsidR="00DB5406" w:rsidRDefault="00DB5406" w:rsidP="00A37FAF">
      <w:pPr>
        <w:spacing w:before="100" w:beforeAutospacing="1" w:after="80"/>
        <w:contextualSpacing/>
        <w:rPr>
          <w:lang w:val="en-US" w:eastAsia="zh-CN"/>
        </w:rPr>
      </w:pPr>
    </w:p>
    <w:p w:rsidR="00DB5406" w:rsidRDefault="00DB5406" w:rsidP="00A37FAF">
      <w:pPr>
        <w:spacing w:after="80"/>
        <w:contextualSpacing/>
        <w:rPr>
          <w:b/>
          <w:bCs/>
          <w:sz w:val="27"/>
          <w:szCs w:val="27"/>
          <w:lang w:val="en-US" w:eastAsia="zh-CN"/>
        </w:rPr>
      </w:pPr>
      <w:r w:rsidRPr="00E26317">
        <w:rPr>
          <w:b/>
          <w:bCs/>
          <w:sz w:val="27"/>
          <w:szCs w:val="27"/>
          <w:lang w:val="en-US" w:eastAsia="zh-CN"/>
        </w:rPr>
        <w:t>保险</w:t>
      </w:r>
    </w:p>
    <w:p w:rsidR="00DB5406" w:rsidRPr="00E26317" w:rsidRDefault="00DB5406" w:rsidP="00A37FAF">
      <w:pPr>
        <w:spacing w:after="80"/>
        <w:contextualSpacing/>
        <w:rPr>
          <w:lang w:val="en-US" w:eastAsia="zh-CN"/>
        </w:rPr>
      </w:pPr>
    </w:p>
    <w:p w:rsidR="00DB5406" w:rsidRPr="00DB5406" w:rsidRDefault="00DB5406" w:rsidP="00A37FAF">
      <w:pPr>
        <w:spacing w:after="80"/>
        <w:contextualSpacing/>
        <w:rPr>
          <w:color w:val="222222"/>
          <w:lang w:eastAsia="zh-CN"/>
        </w:rPr>
      </w:pPr>
      <w:r w:rsidRPr="00DB5406">
        <w:rPr>
          <w:color w:val="222222"/>
          <w:lang w:eastAsia="zh-CN"/>
        </w:rPr>
        <w:t>在自由贸易协定中，中国首次承诺允许澳大利亚保险公司进入中国的法定第三者责任机动车辆保险市场，且无权益的建立形式和股权的限制。</w:t>
      </w:r>
      <w:r w:rsidRPr="00E26317">
        <w:rPr>
          <w:color w:val="222222"/>
          <w:lang w:eastAsia="zh-CN"/>
        </w:rPr>
        <w:br/>
      </w:r>
    </w:p>
    <w:p w:rsidR="00DB5406" w:rsidRPr="00E26317" w:rsidRDefault="00DB5406" w:rsidP="00DB5406">
      <w:pPr>
        <w:spacing w:after="80"/>
        <w:contextualSpacing/>
        <w:rPr>
          <w:lang w:val="en-US" w:eastAsia="zh-CN"/>
        </w:rPr>
      </w:pPr>
      <w:r w:rsidRPr="00E26317">
        <w:rPr>
          <w:color w:val="222222"/>
          <w:lang w:eastAsia="zh-CN"/>
        </w:rPr>
        <w:t>澳大利亚承诺，允许中国的人寿保险公司在澳大利亚设立分支机构，而无需在澳大利亚当地注册</w:t>
      </w:r>
      <w:r w:rsidRPr="00E26317">
        <w:rPr>
          <w:rFonts w:eastAsia="SimSun"/>
          <w:color w:val="222222"/>
          <w:lang w:eastAsia="zh-CN"/>
        </w:rPr>
        <w:t>。</w:t>
      </w:r>
    </w:p>
    <w:p w:rsidR="00DB5406" w:rsidRDefault="00DB5406" w:rsidP="00DB5406">
      <w:pPr>
        <w:spacing w:after="80"/>
        <w:rPr>
          <w:b/>
          <w:bCs/>
          <w:sz w:val="27"/>
          <w:szCs w:val="27"/>
          <w:lang w:val="en-US" w:eastAsia="zh-CN"/>
        </w:rPr>
      </w:pPr>
      <w:r w:rsidRPr="00E26317">
        <w:rPr>
          <w:b/>
          <w:bCs/>
          <w:sz w:val="27"/>
          <w:szCs w:val="27"/>
          <w:lang w:val="en-US" w:eastAsia="zh-CN"/>
        </w:rPr>
        <w:lastRenderedPageBreak/>
        <w:t>银行</w:t>
      </w:r>
    </w:p>
    <w:p w:rsidR="00DB5406" w:rsidRPr="00DB5406" w:rsidRDefault="00DB5406" w:rsidP="00DB5406">
      <w:pPr>
        <w:spacing w:after="80"/>
        <w:contextualSpacing/>
        <w:rPr>
          <w:color w:val="222222"/>
          <w:lang w:eastAsia="zh-CN"/>
        </w:rPr>
      </w:pPr>
      <w:r w:rsidRPr="00DB5406">
        <w:rPr>
          <w:color w:val="222222"/>
          <w:lang w:eastAsia="zh-CN"/>
        </w:rPr>
        <w:t>中国已经同意将澳大利亚银行经营本地货币（人民币）业务的等待期从三年降低至一年。</w:t>
      </w:r>
      <w:r w:rsidRPr="00DB5406">
        <w:rPr>
          <w:rFonts w:hint="eastAsia"/>
          <w:color w:val="222222"/>
          <w:lang w:eastAsia="zh-CN"/>
        </w:rPr>
        <w:t>同时</w:t>
      </w:r>
      <w:r w:rsidRPr="00DB5406">
        <w:rPr>
          <w:color w:val="222222"/>
          <w:lang w:eastAsia="zh-CN"/>
        </w:rPr>
        <w:t>中国将</w:t>
      </w:r>
      <w:r w:rsidRPr="00DB5406">
        <w:rPr>
          <w:rFonts w:hint="eastAsia"/>
          <w:color w:val="222222"/>
          <w:lang w:eastAsia="zh-CN"/>
        </w:rPr>
        <w:t>取消</w:t>
      </w:r>
      <w:r w:rsidRPr="00DB5406">
        <w:rPr>
          <w:color w:val="222222"/>
          <w:lang w:eastAsia="zh-CN"/>
        </w:rPr>
        <w:t>有关两年连续盈利的要求，此要求曾是经营本地货币的前提条件。</w:t>
      </w:r>
    </w:p>
    <w:p w:rsidR="00DB5406" w:rsidRPr="00DB5406" w:rsidRDefault="00DB5406" w:rsidP="00DB5406">
      <w:pPr>
        <w:spacing w:after="80"/>
        <w:contextualSpacing/>
        <w:rPr>
          <w:color w:val="222222"/>
          <w:lang w:eastAsia="zh-CN"/>
        </w:rPr>
      </w:pPr>
    </w:p>
    <w:p w:rsidR="00DB5406" w:rsidRPr="00DB5406" w:rsidRDefault="00DB5406" w:rsidP="00DB5406">
      <w:pPr>
        <w:spacing w:after="80"/>
        <w:contextualSpacing/>
        <w:rPr>
          <w:color w:val="222222"/>
          <w:lang w:eastAsia="zh-CN"/>
        </w:rPr>
      </w:pPr>
      <w:r w:rsidRPr="00DB5406">
        <w:rPr>
          <w:color w:val="222222"/>
          <w:lang w:eastAsia="zh-CN"/>
        </w:rPr>
        <w:t>凡在中国设立了分支机构且获准经营本地货币业务的澳大利亚银行，由同一家银行设立的其他分支机构将有资格获得精简的经营人民币业务批准手续。</w:t>
      </w:r>
    </w:p>
    <w:p w:rsidR="00DB5406" w:rsidRPr="00DB5406" w:rsidRDefault="00DB5406" w:rsidP="00DB5406">
      <w:pPr>
        <w:spacing w:after="80"/>
        <w:contextualSpacing/>
        <w:rPr>
          <w:color w:val="222222"/>
          <w:lang w:eastAsia="zh-CN"/>
        </w:rPr>
      </w:pPr>
    </w:p>
    <w:p w:rsidR="00DB5406" w:rsidRPr="00DB5406" w:rsidRDefault="00DB5406" w:rsidP="00DB5406">
      <w:pPr>
        <w:spacing w:after="80"/>
        <w:contextualSpacing/>
        <w:rPr>
          <w:color w:val="222222"/>
          <w:lang w:eastAsia="zh-CN"/>
        </w:rPr>
      </w:pPr>
      <w:r w:rsidRPr="00DB5406">
        <w:rPr>
          <w:color w:val="222222"/>
          <w:lang w:eastAsia="zh-CN"/>
        </w:rPr>
        <w:t>中国将去除澳大利亚银行在中国设立分支机构需有总行拨给至少一亿元</w:t>
      </w:r>
      <w:r w:rsidRPr="00DB5406">
        <w:rPr>
          <w:rFonts w:hint="eastAsia"/>
          <w:color w:val="222222"/>
          <w:lang w:eastAsia="zh-CN"/>
        </w:rPr>
        <w:t>人民币作为</w:t>
      </w:r>
      <w:r w:rsidRPr="00DB5406">
        <w:rPr>
          <w:color w:val="222222"/>
          <w:lang w:eastAsia="zh-CN"/>
        </w:rPr>
        <w:t>营运资金的要求，此举将加快银行业务增长，萌发新型商业机遇。</w:t>
      </w:r>
    </w:p>
    <w:p w:rsidR="00DB5406" w:rsidRPr="00DB5406" w:rsidRDefault="00DB5406" w:rsidP="00DB5406">
      <w:pPr>
        <w:spacing w:after="80"/>
        <w:contextualSpacing/>
        <w:rPr>
          <w:color w:val="222222"/>
          <w:lang w:eastAsia="zh-CN"/>
        </w:rPr>
      </w:pPr>
    </w:p>
    <w:p w:rsidR="00DB5406" w:rsidRPr="00DB5406" w:rsidRDefault="00DB5406" w:rsidP="00DB5406">
      <w:pPr>
        <w:spacing w:after="80"/>
        <w:contextualSpacing/>
        <w:rPr>
          <w:color w:val="222222"/>
          <w:lang w:eastAsia="zh-CN"/>
        </w:rPr>
      </w:pPr>
      <w:r w:rsidRPr="00DB5406">
        <w:rPr>
          <w:color w:val="222222"/>
          <w:lang w:eastAsia="zh-CN"/>
        </w:rPr>
        <w:t>澳大利亚银行在中国的分支机构将得以通过中国的金融机构信贷资产证券化试点项目，参与信贷资产证券化业务。</w:t>
      </w:r>
    </w:p>
    <w:p w:rsidR="00DB5406" w:rsidRDefault="00DB5406" w:rsidP="00DB5406">
      <w:pPr>
        <w:spacing w:after="80"/>
        <w:rPr>
          <w:lang w:val="en-US" w:eastAsia="zh-CN"/>
        </w:rPr>
      </w:pPr>
    </w:p>
    <w:p w:rsidR="00DB5406" w:rsidRDefault="00DB5406" w:rsidP="00DB5406">
      <w:pPr>
        <w:spacing w:after="80"/>
        <w:rPr>
          <w:b/>
          <w:bCs/>
          <w:sz w:val="27"/>
          <w:szCs w:val="27"/>
          <w:lang w:val="en-US" w:eastAsia="zh-CN"/>
        </w:rPr>
      </w:pPr>
      <w:r w:rsidRPr="00E26317">
        <w:rPr>
          <w:b/>
          <w:bCs/>
          <w:sz w:val="27"/>
          <w:szCs w:val="27"/>
          <w:lang w:val="en-US" w:eastAsia="zh-CN"/>
        </w:rPr>
        <w:t>证券和期货</w:t>
      </w:r>
    </w:p>
    <w:p w:rsidR="00DB5406" w:rsidRPr="00DB5406" w:rsidRDefault="00DB5406" w:rsidP="00DB5406">
      <w:pPr>
        <w:spacing w:after="80"/>
        <w:contextualSpacing/>
        <w:rPr>
          <w:color w:val="222222"/>
          <w:lang w:eastAsia="zh-CN"/>
        </w:rPr>
      </w:pPr>
      <w:r w:rsidRPr="00DB5406">
        <w:rPr>
          <w:color w:val="222222"/>
          <w:lang w:eastAsia="zh-CN"/>
        </w:rPr>
        <w:t>在自由贸易协定中，中国首次同意</w:t>
      </w:r>
      <w:r w:rsidRPr="00DB5406">
        <w:rPr>
          <w:color w:val="222222"/>
          <w:lang w:eastAsia="zh-CN"/>
        </w:rPr>
        <w:t>:</w:t>
      </w:r>
    </w:p>
    <w:p w:rsidR="00DB5406" w:rsidRDefault="00DB5406" w:rsidP="00DB5406">
      <w:pPr>
        <w:spacing w:after="80"/>
        <w:contextualSpacing/>
      </w:pPr>
    </w:p>
    <w:p w:rsidR="00DB5406" w:rsidRDefault="00DB5406" w:rsidP="00DB5406">
      <w:pPr>
        <w:spacing w:after="80"/>
        <w:contextualSpacing/>
        <w:rPr>
          <w:lang w:eastAsia="zh-CN"/>
        </w:rPr>
      </w:pPr>
      <w:r w:rsidRPr="00DB5406">
        <w:rPr>
          <w:lang w:eastAsia="zh-CN"/>
        </w:rPr>
        <w:t>允许澳大利亚的金融服务商设立合资期货公司，其中澳大利亚</w:t>
      </w:r>
      <w:r w:rsidRPr="00DB5406">
        <w:rPr>
          <w:rFonts w:hint="eastAsia"/>
          <w:lang w:eastAsia="zh-CN"/>
        </w:rPr>
        <w:t>股</w:t>
      </w:r>
      <w:r w:rsidRPr="00DB5406">
        <w:rPr>
          <w:lang w:eastAsia="zh-CN"/>
        </w:rPr>
        <w:t>权</w:t>
      </w:r>
      <w:r w:rsidRPr="00DB5406">
        <w:rPr>
          <w:rFonts w:hint="eastAsia"/>
          <w:lang w:eastAsia="zh-CN"/>
        </w:rPr>
        <w:t>比例</w:t>
      </w:r>
      <w:r w:rsidRPr="00DB5406">
        <w:rPr>
          <w:lang w:eastAsia="zh-CN"/>
        </w:rPr>
        <w:t>最高可达</w:t>
      </w:r>
      <w:r w:rsidRPr="00DB5406">
        <w:rPr>
          <w:lang w:eastAsia="zh-CN"/>
        </w:rPr>
        <w:t>49</w:t>
      </w:r>
      <w:r w:rsidRPr="00DB5406">
        <w:rPr>
          <w:lang w:eastAsia="zh-CN"/>
        </w:rPr>
        <w:t>％（先前外资参与未得许可）。</w:t>
      </w:r>
    </w:p>
    <w:p w:rsidR="00DB5406" w:rsidRPr="00DB5406" w:rsidRDefault="00DB5406" w:rsidP="00DB5406">
      <w:pPr>
        <w:spacing w:after="80"/>
        <w:contextualSpacing/>
        <w:rPr>
          <w:color w:val="222222"/>
          <w:lang w:eastAsia="zh-CN"/>
        </w:rPr>
      </w:pPr>
    </w:p>
    <w:p w:rsidR="00DB5406" w:rsidRDefault="00DB5406" w:rsidP="00A37FAF">
      <w:pPr>
        <w:spacing w:before="120" w:after="120"/>
        <w:contextualSpacing/>
        <w:rPr>
          <w:rFonts w:hint="eastAsia"/>
          <w:lang w:eastAsia="zh-CN"/>
        </w:rPr>
      </w:pPr>
      <w:r w:rsidRPr="00DB5406">
        <w:rPr>
          <w:lang w:eastAsia="zh-CN"/>
        </w:rPr>
        <w:t>向澳大利亚金融机构在中国获批的证券化业务提供</w:t>
      </w:r>
      <w:r>
        <w:rPr>
          <w:lang w:eastAsia="zh-CN"/>
        </w:rPr>
        <w:t>国民待遇</w:t>
      </w:r>
      <w:r w:rsidR="00A37FAF">
        <w:rPr>
          <w:rFonts w:hint="eastAsia"/>
          <w:lang w:eastAsia="zh-CN"/>
        </w:rPr>
        <w:t>。</w:t>
      </w:r>
    </w:p>
    <w:p w:rsidR="00A37FAF" w:rsidRDefault="00A37FAF" w:rsidP="00A37FAF">
      <w:pPr>
        <w:spacing w:before="120" w:after="120"/>
        <w:contextualSpacing/>
        <w:rPr>
          <w:rFonts w:hint="eastAsia"/>
          <w:lang w:eastAsia="zh-CN"/>
        </w:rPr>
      </w:pPr>
    </w:p>
    <w:p w:rsidR="00DB5406" w:rsidRPr="00DB5406" w:rsidRDefault="00DB5406" w:rsidP="00A37FAF">
      <w:pPr>
        <w:spacing w:before="120" w:after="120"/>
        <w:contextualSpacing/>
        <w:rPr>
          <w:color w:val="222222"/>
          <w:lang w:eastAsia="zh-CN"/>
        </w:rPr>
      </w:pPr>
      <w:r w:rsidRPr="00DB5406">
        <w:rPr>
          <w:color w:val="222222"/>
          <w:lang w:eastAsia="zh-CN"/>
        </w:rPr>
        <w:t>在中国的澳大利亚证券公司将从新的承诺中获益，将参与中国</w:t>
      </w:r>
      <w:r w:rsidRPr="00E26317">
        <w:rPr>
          <w:color w:val="222222"/>
          <w:lang w:eastAsia="zh-CN"/>
        </w:rPr>
        <w:t>国内</w:t>
      </w:r>
      <w:r w:rsidRPr="00DB5406">
        <w:rPr>
          <w:lang w:eastAsia="zh-CN"/>
        </w:rPr>
        <w:t>A</w:t>
      </w:r>
      <w:r w:rsidRPr="00DB5406">
        <w:rPr>
          <w:lang w:eastAsia="zh-CN"/>
        </w:rPr>
        <w:t>股、</w:t>
      </w:r>
      <w:r w:rsidRPr="00DB5406">
        <w:rPr>
          <w:lang w:eastAsia="zh-CN"/>
        </w:rPr>
        <w:t>B</w:t>
      </w:r>
      <w:r w:rsidRPr="00E26317">
        <w:rPr>
          <w:color w:val="222222"/>
          <w:lang w:eastAsia="zh-CN"/>
        </w:rPr>
        <w:t>股和</w:t>
      </w:r>
      <w:r w:rsidRPr="00E26317">
        <w:rPr>
          <w:color w:val="222222"/>
          <w:lang w:eastAsia="zh-CN"/>
        </w:rPr>
        <w:t>H</w:t>
      </w:r>
      <w:r w:rsidRPr="00E26317">
        <w:rPr>
          <w:color w:val="222222"/>
          <w:lang w:eastAsia="zh-CN"/>
        </w:rPr>
        <w:t>股（在香港上市）的证券包销的</w:t>
      </w:r>
      <w:r w:rsidRPr="00DB5406">
        <w:rPr>
          <w:color w:val="222222"/>
          <w:lang w:eastAsia="zh-CN"/>
        </w:rPr>
        <w:t>外国股权</w:t>
      </w:r>
      <w:r w:rsidRPr="00DB5406">
        <w:rPr>
          <w:rFonts w:hint="eastAsia"/>
          <w:color w:val="222222"/>
          <w:lang w:eastAsia="zh-CN"/>
        </w:rPr>
        <w:t>上限</w:t>
      </w:r>
      <w:r w:rsidRPr="00DB5406">
        <w:rPr>
          <w:color w:val="222222"/>
          <w:lang w:eastAsia="zh-CN"/>
        </w:rPr>
        <w:t>提升至最高</w:t>
      </w:r>
      <w:r w:rsidRPr="00DB5406">
        <w:rPr>
          <w:color w:val="222222"/>
          <w:lang w:eastAsia="zh-CN"/>
        </w:rPr>
        <w:t>49</w:t>
      </w:r>
      <w:r w:rsidRPr="00DB5406">
        <w:rPr>
          <w:color w:val="222222"/>
          <w:lang w:eastAsia="zh-CN"/>
        </w:rPr>
        <w:t>％的比例</w:t>
      </w:r>
      <w:r w:rsidRPr="00E26317">
        <w:rPr>
          <w:color w:val="222222"/>
          <w:lang w:eastAsia="zh-CN"/>
        </w:rPr>
        <w:t>（高于中国加入世贸组织时给</w:t>
      </w:r>
      <w:r>
        <w:rPr>
          <w:rFonts w:hint="eastAsia"/>
          <w:color w:val="222222"/>
          <w:lang w:eastAsia="zh-CN"/>
        </w:rPr>
        <w:t>予</w:t>
      </w:r>
      <w:r w:rsidRPr="00E26317">
        <w:rPr>
          <w:color w:val="222222"/>
          <w:lang w:eastAsia="zh-CN"/>
        </w:rPr>
        <w:t>的</w:t>
      </w:r>
      <w:r w:rsidRPr="00E26317">
        <w:rPr>
          <w:color w:val="222222"/>
          <w:lang w:eastAsia="zh-CN"/>
        </w:rPr>
        <w:t>33%</w:t>
      </w:r>
      <w:r w:rsidRPr="00E26317">
        <w:rPr>
          <w:color w:val="222222"/>
          <w:lang w:eastAsia="zh-CN"/>
        </w:rPr>
        <w:t>的承诺），并获保证</w:t>
      </w:r>
      <w:r>
        <w:rPr>
          <w:rFonts w:hint="eastAsia"/>
          <w:color w:val="222222"/>
          <w:lang w:eastAsia="zh-CN"/>
        </w:rPr>
        <w:t>可以在中国境内经营</w:t>
      </w:r>
      <w:r w:rsidRPr="00E26317">
        <w:rPr>
          <w:color w:val="222222"/>
          <w:lang w:eastAsia="zh-CN"/>
        </w:rPr>
        <w:t>证券基金管理业务</w:t>
      </w:r>
      <w:r w:rsidRPr="00DB5406">
        <w:rPr>
          <w:color w:val="222222"/>
          <w:lang w:eastAsia="zh-CN"/>
        </w:rPr>
        <w:t>。</w:t>
      </w:r>
    </w:p>
    <w:p w:rsidR="00DB5406" w:rsidRDefault="00DB5406" w:rsidP="00DB5406">
      <w:pPr>
        <w:spacing w:after="80"/>
        <w:ind w:left="357" w:hanging="357"/>
        <w:rPr>
          <w:b/>
          <w:bCs/>
          <w:sz w:val="27"/>
          <w:szCs w:val="27"/>
          <w:lang w:val="en-US" w:eastAsia="zh-CN"/>
        </w:rPr>
      </w:pPr>
    </w:p>
    <w:p w:rsidR="00DB5406" w:rsidRDefault="00DB5406" w:rsidP="00DB5406">
      <w:pPr>
        <w:spacing w:after="80"/>
        <w:ind w:left="357" w:hanging="357"/>
        <w:rPr>
          <w:b/>
          <w:bCs/>
          <w:sz w:val="27"/>
          <w:szCs w:val="27"/>
          <w:lang w:val="en-US" w:eastAsia="zh-CN"/>
        </w:rPr>
      </w:pPr>
      <w:r w:rsidRPr="00E26317">
        <w:rPr>
          <w:b/>
          <w:bCs/>
          <w:sz w:val="27"/>
          <w:szCs w:val="27"/>
          <w:lang w:val="en-US" w:eastAsia="zh-CN"/>
        </w:rPr>
        <w:t>基金管理</w:t>
      </w:r>
    </w:p>
    <w:p w:rsidR="00DB5406" w:rsidRPr="00E26317" w:rsidRDefault="00DB5406" w:rsidP="00DB5406">
      <w:pPr>
        <w:spacing w:after="80"/>
        <w:contextualSpacing/>
        <w:rPr>
          <w:lang w:val="en-US" w:eastAsia="zh-CN"/>
        </w:rPr>
      </w:pPr>
      <w:r w:rsidRPr="00E26317">
        <w:rPr>
          <w:rFonts w:eastAsia="SimSun"/>
          <w:color w:val="222222"/>
          <w:lang w:eastAsia="zh-CN"/>
        </w:rPr>
        <w:t>在</w:t>
      </w:r>
      <w:r>
        <w:rPr>
          <w:rFonts w:eastAsia="SimSun" w:hint="eastAsia"/>
          <w:color w:val="222222"/>
          <w:lang w:eastAsia="zh-CN"/>
        </w:rPr>
        <w:t>基</w:t>
      </w:r>
      <w:r w:rsidRPr="00E26317">
        <w:rPr>
          <w:rFonts w:eastAsia="SimSun"/>
          <w:color w:val="222222"/>
          <w:lang w:eastAsia="zh-CN"/>
        </w:rPr>
        <w:t>金管理业，中国也将允许澳大利亚证券经纪和咨询公司向中国合格境内机构投资者（即获准投资境外的中国投资者）提供跨境证券交易账户、托管、咨询和投资组合管理服务。</w:t>
      </w:r>
    </w:p>
    <w:p w:rsidR="00DB5406" w:rsidRPr="00DB5406" w:rsidRDefault="00DB5406" w:rsidP="00DB5406">
      <w:pPr>
        <w:spacing w:after="80"/>
        <w:contextualSpacing/>
        <w:rPr>
          <w:rFonts w:eastAsia="SimSun"/>
          <w:color w:val="222222"/>
          <w:lang w:eastAsia="zh-CN"/>
        </w:rPr>
      </w:pPr>
      <w:r w:rsidRPr="00E26317">
        <w:rPr>
          <w:rFonts w:eastAsia="SimSun"/>
          <w:color w:val="222222"/>
          <w:lang w:eastAsia="zh-CN"/>
        </w:rPr>
        <w:t>澳大利亚证券和投资委员会（</w:t>
      </w:r>
      <w:r w:rsidRPr="00E26317">
        <w:rPr>
          <w:color w:val="222222"/>
          <w:lang w:eastAsia="zh-CN"/>
        </w:rPr>
        <w:t>ASIC</w:t>
      </w:r>
      <w:r w:rsidRPr="00E26317">
        <w:rPr>
          <w:rFonts w:eastAsia="SimSun"/>
          <w:color w:val="222222"/>
          <w:lang w:eastAsia="zh-CN"/>
        </w:rPr>
        <w:t>）和中国证券监督管理委员会（中国证监会）已同意加强合作，增进澳大利亚和中国对于彼此监管框架的了解。</w:t>
      </w:r>
    </w:p>
    <w:p w:rsidR="00DB5406" w:rsidRPr="00DB5406" w:rsidRDefault="00DB5406" w:rsidP="00DB5406">
      <w:pPr>
        <w:spacing w:after="80"/>
        <w:ind w:left="357" w:hanging="357"/>
        <w:rPr>
          <w:b/>
          <w:bCs/>
          <w:sz w:val="27"/>
          <w:szCs w:val="27"/>
          <w:lang w:val="en-US" w:eastAsia="zh-CN"/>
        </w:rPr>
      </w:pPr>
    </w:p>
    <w:p w:rsidR="00DB5406" w:rsidRPr="00DB5406" w:rsidRDefault="00DB5406" w:rsidP="00DB5406">
      <w:pPr>
        <w:spacing w:after="80"/>
        <w:ind w:left="357" w:hanging="357"/>
        <w:rPr>
          <w:b/>
          <w:bCs/>
          <w:sz w:val="27"/>
          <w:szCs w:val="27"/>
          <w:lang w:val="en-US" w:eastAsia="zh-CN"/>
        </w:rPr>
      </w:pPr>
      <w:r w:rsidRPr="00DB5406">
        <w:rPr>
          <w:b/>
          <w:bCs/>
          <w:sz w:val="27"/>
          <w:szCs w:val="27"/>
          <w:lang w:val="en-US" w:eastAsia="zh-CN"/>
        </w:rPr>
        <w:t>双边税务安排</w:t>
      </w:r>
    </w:p>
    <w:p w:rsidR="00DB5406" w:rsidRPr="00A37FAF" w:rsidRDefault="00DB5406" w:rsidP="00DB5406">
      <w:pPr>
        <w:spacing w:after="80"/>
        <w:contextualSpacing/>
        <w:rPr>
          <w:rFonts w:eastAsia="Times New Roman"/>
          <w:lang w:val="en-US" w:eastAsia="zh-CN"/>
        </w:rPr>
      </w:pPr>
      <w:r>
        <w:rPr>
          <w:rStyle w:val="shorttext"/>
          <w:rFonts w:eastAsia="SimSun" w:hint="eastAsia"/>
          <w:color w:val="222222"/>
          <w:lang w:eastAsia="zh-CN"/>
        </w:rPr>
        <w:t>作为部分后续工作，</w:t>
      </w:r>
      <w:r w:rsidRPr="00E26317">
        <w:rPr>
          <w:rStyle w:val="shorttext"/>
          <w:rFonts w:eastAsia="SimSun"/>
          <w:color w:val="222222"/>
          <w:lang w:eastAsia="zh-CN"/>
        </w:rPr>
        <w:t>澳大利亚和中国已同意审查双边税务安排，</w:t>
      </w:r>
      <w:r>
        <w:rPr>
          <w:rStyle w:val="shorttext"/>
          <w:rFonts w:eastAsia="SimSun" w:hint="eastAsia"/>
          <w:color w:val="222222"/>
          <w:lang w:eastAsia="zh-CN"/>
        </w:rPr>
        <w:t>从而在自贸协定得以实施之后</w:t>
      </w:r>
      <w:r w:rsidRPr="00E26317">
        <w:rPr>
          <w:rStyle w:val="shorttext"/>
          <w:rFonts w:eastAsia="SimSun"/>
          <w:color w:val="222222"/>
          <w:lang w:eastAsia="zh-CN"/>
        </w:rPr>
        <w:t>，改善贸易和投资环境。</w:t>
      </w:r>
      <w:r w:rsidRPr="00E26317">
        <w:rPr>
          <w:rFonts w:eastAsia="Times New Roman"/>
          <w:lang w:val="en-US" w:eastAsia="zh-CN"/>
        </w:rPr>
        <w:t xml:space="preserve"> </w:t>
      </w:r>
      <w:r w:rsidRPr="00E26317">
        <w:rPr>
          <w:rFonts w:eastAsia="SimSun"/>
          <w:color w:val="222222"/>
          <w:lang w:val="en-US" w:eastAsia="zh-CN"/>
        </w:rPr>
        <w:t>此次</w:t>
      </w:r>
      <w:r w:rsidRPr="00E26317">
        <w:rPr>
          <w:rFonts w:eastAsia="SimSun"/>
          <w:color w:val="222222"/>
          <w:lang w:eastAsia="zh-CN"/>
        </w:rPr>
        <w:t>审查将涵盖</w:t>
      </w:r>
      <w:r w:rsidRPr="00E26317">
        <w:rPr>
          <w:color w:val="222222"/>
          <w:lang w:eastAsia="zh-CN"/>
        </w:rPr>
        <w:t>有关双重课税和防止逃税的现有安排。为此，两国将适当考虑共同的经济目标和国际税收准则</w:t>
      </w:r>
      <w:r w:rsidRPr="00E26317">
        <w:rPr>
          <w:rFonts w:eastAsia="SimSun"/>
          <w:color w:val="222222"/>
          <w:lang w:eastAsia="zh-CN"/>
        </w:rPr>
        <w:t>。</w:t>
      </w:r>
    </w:p>
    <w:p w:rsidR="00DB5406" w:rsidRPr="00DB5406" w:rsidRDefault="00DB5406" w:rsidP="00DB5406">
      <w:pPr>
        <w:spacing w:before="100" w:beforeAutospacing="1" w:after="100" w:afterAutospacing="1"/>
        <w:contextualSpacing/>
        <w:rPr>
          <w:rFonts w:eastAsia="SimSun"/>
          <w:b/>
          <w:color w:val="222222"/>
          <w:lang w:val="en-US" w:eastAsia="zh-CN"/>
        </w:rPr>
      </w:pPr>
    </w:p>
    <w:sectPr w:rsidR="00DB5406" w:rsidRPr="00DB5406" w:rsidSect="00942819">
      <w:headerReference w:type="default" r:id="rId9"/>
      <w:footerReference w:type="default" r:id="rId10"/>
      <w:type w:val="continuous"/>
      <w:pgSz w:w="11906" w:h="16838" w:code="9"/>
      <w:pgMar w:top="3119" w:right="851" w:bottom="1247" w:left="851" w:header="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AB1" w:rsidRDefault="00E32AB1" w:rsidP="009D7CBF">
      <w:pPr>
        <w:spacing w:after="0" w:line="240" w:lineRule="auto"/>
      </w:pPr>
      <w:r>
        <w:separator/>
      </w:r>
    </w:p>
  </w:endnote>
  <w:endnote w:type="continuationSeparator" w:id="0">
    <w:p w:rsidR="00E32AB1" w:rsidRDefault="00E32AB1" w:rsidP="009D7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E3D" w:rsidRPr="00A36729" w:rsidRDefault="00CA4E3D" w:rsidP="00A36729">
    <w:pPr>
      <w:spacing w:after="0" w:line="240" w:lineRule="auto"/>
      <w:rPr>
        <w:rFonts w:cs="Arial"/>
        <w:sz w:val="14"/>
        <w:szCs w:val="14"/>
      </w:rPr>
    </w:pPr>
    <w:r w:rsidRPr="00A36729">
      <w:rPr>
        <w:rFonts w:cs="Arial"/>
        <w:sz w:val="14"/>
        <w:szCs w:val="14"/>
      </w:rPr>
      <w:t xml:space="preserve">More information on the </w:t>
    </w:r>
    <w:r>
      <w:rPr>
        <w:rFonts w:cs="Arial"/>
        <w:sz w:val="14"/>
        <w:szCs w:val="14"/>
      </w:rPr>
      <w:t xml:space="preserve">China </w:t>
    </w:r>
    <w:r w:rsidRPr="00A36729">
      <w:rPr>
        <w:rFonts w:cs="Arial"/>
        <w:sz w:val="14"/>
        <w:szCs w:val="14"/>
      </w:rPr>
      <w:t xml:space="preserve">Australia </w:t>
    </w:r>
    <w:r>
      <w:rPr>
        <w:rFonts w:cs="Arial"/>
        <w:sz w:val="14"/>
        <w:szCs w:val="14"/>
      </w:rPr>
      <w:t>Free Trade</w:t>
    </w:r>
    <w:r w:rsidRPr="00A36729">
      <w:rPr>
        <w:rFonts w:cs="Arial"/>
        <w:sz w:val="14"/>
        <w:szCs w:val="14"/>
      </w:rPr>
      <w:t xml:space="preserve"> Agreement is available at</w:t>
    </w:r>
    <w:r>
      <w:rPr>
        <w:rFonts w:cs="Arial"/>
        <w:sz w:val="14"/>
        <w:szCs w:val="14"/>
      </w:rPr>
      <w:t xml:space="preserve"> </w:t>
    </w:r>
    <w:hyperlink r:id="rId1" w:anchor="chafta" w:history="1">
      <w:r w:rsidRPr="00DF4892">
        <w:rPr>
          <w:rStyle w:val="Hyperlink"/>
          <w:rFonts w:cs="Arial"/>
          <w:sz w:val="14"/>
          <w:szCs w:val="14"/>
        </w:rPr>
        <w:t>www.dfat.gov.au/fta/</w:t>
      </w:r>
      <w:r w:rsidRPr="00DF4892">
        <w:rPr>
          <w:rStyle w:val="Hyperlink"/>
          <w:noProof/>
          <w:sz w:val="14"/>
          <w:szCs w:val="14"/>
          <w:lang w:eastAsia="zh-CN"/>
        </w:rPr>
        <w:drawing>
          <wp:anchor distT="0" distB="0" distL="114300" distR="114300" simplePos="0" relativeHeight="251661824" behindDoc="1" locked="0" layoutInCell="1" allowOverlap="1" wp14:anchorId="72FC552C" wp14:editId="555C6D1F">
            <wp:simplePos x="0" y="0"/>
            <wp:positionH relativeFrom="page">
              <wp:posOffset>5328920</wp:posOffset>
            </wp:positionH>
            <wp:positionV relativeFrom="page">
              <wp:posOffset>9901555</wp:posOffset>
            </wp:positionV>
            <wp:extent cx="1972800" cy="529200"/>
            <wp:effectExtent l="0" t="0" r="889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72800" cy="529200"/>
                    </a:xfrm>
                    <a:prstGeom prst="rect">
                      <a:avLst/>
                    </a:prstGeom>
                    <a:noFill/>
                  </pic:spPr>
                </pic:pic>
              </a:graphicData>
            </a:graphic>
          </wp:anchor>
        </w:drawing>
      </w:r>
      <w:r w:rsidRPr="00DF4892">
        <w:rPr>
          <w:rStyle w:val="Hyperlink"/>
          <w:rFonts w:cs="Arial"/>
          <w:sz w:val="14"/>
          <w:szCs w:val="14"/>
        </w:rPr>
        <w:t>chafta</w:t>
      </w:r>
    </w:hyperlink>
    <w:r>
      <w:rPr>
        <w:rFonts w:cs="Arial"/>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AB1" w:rsidRDefault="00E32AB1" w:rsidP="009D7CBF">
      <w:pPr>
        <w:spacing w:after="0" w:line="240" w:lineRule="auto"/>
      </w:pPr>
      <w:r>
        <w:separator/>
      </w:r>
    </w:p>
  </w:footnote>
  <w:footnote w:type="continuationSeparator" w:id="0">
    <w:p w:rsidR="00E32AB1" w:rsidRDefault="00E32AB1" w:rsidP="009D7C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E3D" w:rsidRDefault="00CA4E3D" w:rsidP="000E700D">
    <w:pPr>
      <w:pStyle w:val="Header"/>
      <w:tabs>
        <w:tab w:val="clear" w:pos="4513"/>
        <w:tab w:val="clear" w:pos="9026"/>
        <w:tab w:val="center" w:pos="4536"/>
        <w:tab w:val="right" w:pos="9072"/>
      </w:tabs>
      <w:rPr>
        <w:noProof/>
      </w:rPr>
    </w:pPr>
    <w:r>
      <w:rPr>
        <w:noProof/>
        <w:lang w:eastAsia="zh-CN"/>
      </w:rPr>
      <w:drawing>
        <wp:anchor distT="0" distB="0" distL="114300" distR="114300" simplePos="0" relativeHeight="251663872" behindDoc="1" locked="0" layoutInCell="1" allowOverlap="1" wp14:anchorId="35AFFF28" wp14:editId="3BDC7E98">
          <wp:simplePos x="0" y="0"/>
          <wp:positionH relativeFrom="page">
            <wp:posOffset>0</wp:posOffset>
          </wp:positionH>
          <wp:positionV relativeFrom="page">
            <wp:posOffset>0</wp:posOffset>
          </wp:positionV>
          <wp:extent cx="7012800" cy="1641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6565 ChinaFTA WordDoc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2800" cy="1641600"/>
                  </a:xfrm>
                  <a:prstGeom prst="rect">
                    <a:avLst/>
                  </a:prstGeom>
                </pic:spPr>
              </pic:pic>
            </a:graphicData>
          </a:graphic>
          <wp14:sizeRelH relativeFrom="margin">
            <wp14:pctWidth>0</wp14:pctWidth>
          </wp14:sizeRelH>
          <wp14:sizeRelV relativeFrom="margin">
            <wp14:pctHeight>0</wp14:pctHeight>
          </wp14:sizeRelV>
        </wp:anchor>
      </w:drawing>
    </w:r>
  </w:p>
  <w:p w:rsidR="00CA4E3D" w:rsidRDefault="00CA4E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841D10"/>
    <w:lvl w:ilvl="0">
      <w:start w:val="1"/>
      <w:numFmt w:val="decimal"/>
      <w:lvlText w:val="%1."/>
      <w:lvlJc w:val="left"/>
      <w:pPr>
        <w:tabs>
          <w:tab w:val="num" w:pos="1492"/>
        </w:tabs>
        <w:ind w:left="1492" w:hanging="360"/>
      </w:pPr>
    </w:lvl>
  </w:abstractNum>
  <w:abstractNum w:abstractNumId="1">
    <w:nsid w:val="FFFFFF7D"/>
    <w:multiLevelType w:val="singleLevel"/>
    <w:tmpl w:val="AC20B534"/>
    <w:lvl w:ilvl="0">
      <w:start w:val="1"/>
      <w:numFmt w:val="decimal"/>
      <w:lvlText w:val="%1."/>
      <w:lvlJc w:val="left"/>
      <w:pPr>
        <w:tabs>
          <w:tab w:val="num" w:pos="1209"/>
        </w:tabs>
        <w:ind w:left="1209" w:hanging="360"/>
      </w:pPr>
    </w:lvl>
  </w:abstractNum>
  <w:abstractNum w:abstractNumId="2">
    <w:nsid w:val="FFFFFF7E"/>
    <w:multiLevelType w:val="singleLevel"/>
    <w:tmpl w:val="D1C8898E"/>
    <w:lvl w:ilvl="0">
      <w:start w:val="1"/>
      <w:numFmt w:val="decimal"/>
      <w:lvlText w:val="%1."/>
      <w:lvlJc w:val="left"/>
      <w:pPr>
        <w:tabs>
          <w:tab w:val="num" w:pos="926"/>
        </w:tabs>
        <w:ind w:left="926" w:hanging="360"/>
      </w:pPr>
    </w:lvl>
  </w:abstractNum>
  <w:abstractNum w:abstractNumId="3">
    <w:nsid w:val="FFFFFF7F"/>
    <w:multiLevelType w:val="singleLevel"/>
    <w:tmpl w:val="DC08ADD6"/>
    <w:lvl w:ilvl="0">
      <w:start w:val="1"/>
      <w:numFmt w:val="decimal"/>
      <w:lvlText w:val="%1."/>
      <w:lvlJc w:val="left"/>
      <w:pPr>
        <w:tabs>
          <w:tab w:val="num" w:pos="643"/>
        </w:tabs>
        <w:ind w:left="643" w:hanging="360"/>
      </w:pPr>
    </w:lvl>
  </w:abstractNum>
  <w:abstractNum w:abstractNumId="4">
    <w:nsid w:val="FFFFFF80"/>
    <w:multiLevelType w:val="singleLevel"/>
    <w:tmpl w:val="FDA0B06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696C5E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07E66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300B5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3C8E208"/>
    <w:lvl w:ilvl="0">
      <w:start w:val="1"/>
      <w:numFmt w:val="decimal"/>
      <w:pStyle w:val="ListNumber"/>
      <w:lvlText w:val="%1."/>
      <w:lvlJc w:val="left"/>
      <w:pPr>
        <w:tabs>
          <w:tab w:val="num" w:pos="360"/>
        </w:tabs>
        <w:ind w:left="360" w:hanging="360"/>
      </w:pPr>
    </w:lvl>
  </w:abstractNum>
  <w:abstractNum w:abstractNumId="9">
    <w:nsid w:val="FFFFFF89"/>
    <w:multiLevelType w:val="singleLevel"/>
    <w:tmpl w:val="49D27FF0"/>
    <w:lvl w:ilvl="0">
      <w:start w:val="1"/>
      <w:numFmt w:val="bullet"/>
      <w:lvlText w:val=""/>
      <w:lvlJc w:val="left"/>
      <w:pPr>
        <w:tabs>
          <w:tab w:val="num" w:pos="360"/>
        </w:tabs>
        <w:ind w:left="360" w:hanging="360"/>
      </w:pPr>
      <w:rPr>
        <w:rFonts w:ascii="Symbol" w:hAnsi="Symbol" w:hint="default"/>
      </w:rPr>
    </w:lvl>
  </w:abstractNum>
  <w:abstractNum w:abstractNumId="10">
    <w:nsid w:val="05F41C67"/>
    <w:multiLevelType w:val="multilevel"/>
    <w:tmpl w:val="2E54A730"/>
    <w:lvl w:ilvl="0">
      <w:start w:val="1"/>
      <w:numFmt w:val="bullet"/>
      <w:lvlText w:val=""/>
      <w:lvlJc w:val="left"/>
      <w:pPr>
        <w:tabs>
          <w:tab w:val="num" w:pos="567"/>
        </w:tabs>
        <w:ind w:left="567" w:hanging="567"/>
      </w:pPr>
      <w:rPr>
        <w:rFonts w:ascii="Symbol" w:hAnsi="Symbol" w:hint="default"/>
        <w:sz w:val="32"/>
      </w:rPr>
    </w:lvl>
    <w:lvl w:ilvl="1">
      <w:start w:val="1"/>
      <w:numFmt w:val="decimal"/>
      <w:lvlText w:val="%2."/>
      <w:lvlJc w:val="left"/>
      <w:pPr>
        <w:tabs>
          <w:tab w:val="num" w:pos="1134"/>
        </w:tabs>
        <w:ind w:left="1134"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11">
    <w:nsid w:val="0FAF64B1"/>
    <w:multiLevelType w:val="hybridMultilevel"/>
    <w:tmpl w:val="E7762886"/>
    <w:lvl w:ilvl="0" w:tplc="F1028064">
      <w:start w:val="2"/>
      <w:numFmt w:val="bullet"/>
      <w:lvlText w:val="-"/>
      <w:lvlJc w:val="left"/>
      <w:pPr>
        <w:ind w:left="420" w:hanging="360"/>
      </w:pPr>
      <w:rPr>
        <w:rFonts w:ascii="Calibri" w:eastAsia="Times New Roman"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2">
    <w:nsid w:val="13DE560F"/>
    <w:multiLevelType w:val="hybridMultilevel"/>
    <w:tmpl w:val="77A47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4802D11"/>
    <w:multiLevelType w:val="hybridMultilevel"/>
    <w:tmpl w:val="6B32D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4465CA4"/>
    <w:multiLevelType w:val="hybridMultilevel"/>
    <w:tmpl w:val="81E6B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5881BF0"/>
    <w:multiLevelType w:val="hybridMultilevel"/>
    <w:tmpl w:val="C96E3F14"/>
    <w:lvl w:ilvl="0" w:tplc="EE80412C">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9124C9A"/>
    <w:multiLevelType w:val="hybridMultilevel"/>
    <w:tmpl w:val="F04E67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9C64C45"/>
    <w:multiLevelType w:val="hybridMultilevel"/>
    <w:tmpl w:val="75189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B494D30"/>
    <w:multiLevelType w:val="hybridMultilevel"/>
    <w:tmpl w:val="D90AD9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DDE4AD4"/>
    <w:multiLevelType w:val="multilevel"/>
    <w:tmpl w:val="71BEE7E8"/>
    <w:lvl w:ilvl="0">
      <w:start w:val="1"/>
      <w:numFmt w:val="bullet"/>
      <w:lvlText w:val=""/>
      <w:lvlJc w:val="left"/>
      <w:pPr>
        <w:tabs>
          <w:tab w:val="num" w:pos="567"/>
        </w:tabs>
        <w:ind w:left="567" w:hanging="567"/>
      </w:pPr>
      <w:rPr>
        <w:rFonts w:ascii="Symbol" w:hAnsi="Symbol" w:hint="default"/>
        <w:sz w:val="3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20">
    <w:nsid w:val="3B3F2AD4"/>
    <w:multiLevelType w:val="hybridMultilevel"/>
    <w:tmpl w:val="903256AC"/>
    <w:lvl w:ilvl="0" w:tplc="2070ABAE">
      <w:start w:val="1"/>
      <w:numFmt w:val="bullet"/>
      <w:lvlText w:val=""/>
      <w:lvlJc w:val="left"/>
      <w:pPr>
        <w:ind w:left="408" w:hanging="360"/>
      </w:pPr>
      <w:rPr>
        <w:rFonts w:ascii="Symbol" w:hAnsi="Symbol"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21">
    <w:nsid w:val="42B01663"/>
    <w:multiLevelType w:val="hybridMultilevel"/>
    <w:tmpl w:val="1EBEB396"/>
    <w:lvl w:ilvl="0" w:tplc="941208DE">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3374C63"/>
    <w:multiLevelType w:val="hybridMultilevel"/>
    <w:tmpl w:val="8E1EB496"/>
    <w:lvl w:ilvl="0" w:tplc="1F8A773C">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3">
    <w:nsid w:val="439021D7"/>
    <w:multiLevelType w:val="hybridMultilevel"/>
    <w:tmpl w:val="CB1225FE"/>
    <w:lvl w:ilvl="0" w:tplc="1A8CCB8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8BC27C2"/>
    <w:multiLevelType w:val="hybridMultilevel"/>
    <w:tmpl w:val="017EA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E781F38"/>
    <w:multiLevelType w:val="hybridMultilevel"/>
    <w:tmpl w:val="DF2412C4"/>
    <w:lvl w:ilvl="0" w:tplc="0C090001">
      <w:start w:val="1"/>
      <w:numFmt w:val="bullet"/>
      <w:lvlText w:val=""/>
      <w:lvlJc w:val="left"/>
      <w:pPr>
        <w:ind w:left="-212" w:hanging="360"/>
      </w:pPr>
      <w:rPr>
        <w:rFonts w:ascii="Symbol" w:hAnsi="Symbol" w:hint="default"/>
      </w:rPr>
    </w:lvl>
    <w:lvl w:ilvl="1" w:tplc="FC0AC722">
      <w:start w:val="1"/>
      <w:numFmt w:val="bullet"/>
      <w:lvlText w:val="-"/>
      <w:lvlJc w:val="left"/>
      <w:pPr>
        <w:ind w:left="508" w:hanging="360"/>
      </w:pPr>
      <w:rPr>
        <w:rFonts w:ascii="Courier New" w:hAnsi="Courier New" w:hint="default"/>
      </w:rPr>
    </w:lvl>
    <w:lvl w:ilvl="2" w:tplc="0C090005" w:tentative="1">
      <w:start w:val="1"/>
      <w:numFmt w:val="bullet"/>
      <w:lvlText w:val=""/>
      <w:lvlJc w:val="left"/>
      <w:pPr>
        <w:ind w:left="1228" w:hanging="360"/>
      </w:pPr>
      <w:rPr>
        <w:rFonts w:ascii="Wingdings" w:hAnsi="Wingdings" w:hint="default"/>
      </w:rPr>
    </w:lvl>
    <w:lvl w:ilvl="3" w:tplc="0C090001" w:tentative="1">
      <w:start w:val="1"/>
      <w:numFmt w:val="bullet"/>
      <w:lvlText w:val=""/>
      <w:lvlJc w:val="left"/>
      <w:pPr>
        <w:ind w:left="1948" w:hanging="360"/>
      </w:pPr>
      <w:rPr>
        <w:rFonts w:ascii="Symbol" w:hAnsi="Symbol" w:hint="default"/>
      </w:rPr>
    </w:lvl>
    <w:lvl w:ilvl="4" w:tplc="0C090003" w:tentative="1">
      <w:start w:val="1"/>
      <w:numFmt w:val="bullet"/>
      <w:lvlText w:val="o"/>
      <w:lvlJc w:val="left"/>
      <w:pPr>
        <w:ind w:left="2668" w:hanging="360"/>
      </w:pPr>
      <w:rPr>
        <w:rFonts w:ascii="Courier New" w:hAnsi="Courier New" w:cs="Courier New" w:hint="default"/>
      </w:rPr>
    </w:lvl>
    <w:lvl w:ilvl="5" w:tplc="0C090005" w:tentative="1">
      <w:start w:val="1"/>
      <w:numFmt w:val="bullet"/>
      <w:lvlText w:val=""/>
      <w:lvlJc w:val="left"/>
      <w:pPr>
        <w:ind w:left="3388" w:hanging="360"/>
      </w:pPr>
      <w:rPr>
        <w:rFonts w:ascii="Wingdings" w:hAnsi="Wingdings" w:hint="default"/>
      </w:rPr>
    </w:lvl>
    <w:lvl w:ilvl="6" w:tplc="0C090001" w:tentative="1">
      <w:start w:val="1"/>
      <w:numFmt w:val="bullet"/>
      <w:lvlText w:val=""/>
      <w:lvlJc w:val="left"/>
      <w:pPr>
        <w:ind w:left="4108" w:hanging="360"/>
      </w:pPr>
      <w:rPr>
        <w:rFonts w:ascii="Symbol" w:hAnsi="Symbol" w:hint="default"/>
      </w:rPr>
    </w:lvl>
    <w:lvl w:ilvl="7" w:tplc="0C090003" w:tentative="1">
      <w:start w:val="1"/>
      <w:numFmt w:val="bullet"/>
      <w:lvlText w:val="o"/>
      <w:lvlJc w:val="left"/>
      <w:pPr>
        <w:ind w:left="4828" w:hanging="360"/>
      </w:pPr>
      <w:rPr>
        <w:rFonts w:ascii="Courier New" w:hAnsi="Courier New" w:cs="Courier New" w:hint="default"/>
      </w:rPr>
    </w:lvl>
    <w:lvl w:ilvl="8" w:tplc="0C090005" w:tentative="1">
      <w:start w:val="1"/>
      <w:numFmt w:val="bullet"/>
      <w:lvlText w:val=""/>
      <w:lvlJc w:val="left"/>
      <w:pPr>
        <w:ind w:left="5548" w:hanging="360"/>
      </w:pPr>
      <w:rPr>
        <w:rFonts w:ascii="Wingdings" w:hAnsi="Wingdings" w:hint="default"/>
      </w:rPr>
    </w:lvl>
  </w:abstractNum>
  <w:abstractNum w:abstractNumId="26">
    <w:nsid w:val="4F9B2D7C"/>
    <w:multiLevelType w:val="multilevel"/>
    <w:tmpl w:val="5002CF2E"/>
    <w:lvl w:ilvl="0">
      <w:start w:val="1"/>
      <w:numFmt w:val="bullet"/>
      <w:lvlText w:val=""/>
      <w:lvlJc w:val="left"/>
      <w:pPr>
        <w:tabs>
          <w:tab w:val="num" w:pos="567"/>
        </w:tabs>
        <w:ind w:left="567" w:hanging="567"/>
      </w:pPr>
      <w:rPr>
        <w:rFonts w:ascii="Symbol" w:hAnsi="Symbol" w:hint="default"/>
        <w:sz w:val="3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27">
    <w:nsid w:val="54BA3651"/>
    <w:multiLevelType w:val="hybridMultilevel"/>
    <w:tmpl w:val="175C6A5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C3D4860"/>
    <w:multiLevelType w:val="hybridMultilevel"/>
    <w:tmpl w:val="B5BC9C36"/>
    <w:lvl w:ilvl="0" w:tplc="F20448BC">
      <w:start w:val="1"/>
      <w:numFmt w:val="bullet"/>
      <w:pStyle w:val="ListParagraph2"/>
      <w:lvlText w:val="o"/>
      <w:lvlJc w:val="left"/>
      <w:pPr>
        <w:ind w:left="1434"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9">
    <w:nsid w:val="5CC65BCB"/>
    <w:multiLevelType w:val="hybridMultilevel"/>
    <w:tmpl w:val="A3547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F1E41A3"/>
    <w:multiLevelType w:val="hybridMultilevel"/>
    <w:tmpl w:val="850CC668"/>
    <w:lvl w:ilvl="0" w:tplc="8B2EDB4E">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nsid w:val="6B8C2027"/>
    <w:multiLevelType w:val="hybridMultilevel"/>
    <w:tmpl w:val="20966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C425B87"/>
    <w:multiLevelType w:val="multilevel"/>
    <w:tmpl w:val="18606262"/>
    <w:lvl w:ilvl="0">
      <w:start w:val="1"/>
      <w:numFmt w:val="bullet"/>
      <w:lvlText w:val=""/>
      <w:lvlJc w:val="left"/>
      <w:pPr>
        <w:tabs>
          <w:tab w:val="num" w:pos="567"/>
        </w:tabs>
        <w:ind w:left="567" w:hanging="567"/>
      </w:pPr>
      <w:rPr>
        <w:rFonts w:ascii="Symbol" w:hAnsi="Symbol" w:hint="default"/>
        <w:sz w:val="3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33">
    <w:nsid w:val="745A7BCC"/>
    <w:multiLevelType w:val="hybridMultilevel"/>
    <w:tmpl w:val="2EBAF630"/>
    <w:lvl w:ilvl="0" w:tplc="2070ABAE">
      <w:start w:val="1"/>
      <w:numFmt w:val="bullet"/>
      <w:lvlText w:val=""/>
      <w:lvlJc w:val="left"/>
      <w:pPr>
        <w:ind w:left="408" w:hanging="360"/>
      </w:pPr>
      <w:rPr>
        <w:rFonts w:ascii="Symbol" w:hAnsi="Symbol"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34">
    <w:nsid w:val="7E1A0CE6"/>
    <w:multiLevelType w:val="multilevel"/>
    <w:tmpl w:val="2E54A730"/>
    <w:lvl w:ilvl="0">
      <w:start w:val="1"/>
      <w:numFmt w:val="bullet"/>
      <w:lvlText w:val=""/>
      <w:lvlJc w:val="left"/>
      <w:pPr>
        <w:tabs>
          <w:tab w:val="num" w:pos="567"/>
        </w:tabs>
        <w:ind w:left="567" w:hanging="567"/>
      </w:pPr>
      <w:rPr>
        <w:rFonts w:ascii="Symbol" w:hAnsi="Symbol" w:hint="default"/>
        <w:sz w:val="32"/>
      </w:rPr>
    </w:lvl>
    <w:lvl w:ilvl="1">
      <w:start w:val="1"/>
      <w:numFmt w:val="decimal"/>
      <w:lvlText w:val="%2."/>
      <w:lvlJc w:val="left"/>
      <w:pPr>
        <w:tabs>
          <w:tab w:val="num" w:pos="1134"/>
        </w:tabs>
        <w:ind w:left="1134"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num w:numId="1">
    <w:abstractNumId w:val="10"/>
  </w:num>
  <w:num w:numId="2">
    <w:abstractNumId w:val="34"/>
  </w:num>
  <w:num w:numId="3">
    <w:abstractNumId w:val="24"/>
  </w:num>
  <w:num w:numId="4">
    <w:abstractNumId w:val="22"/>
  </w:num>
  <w:num w:numId="5">
    <w:abstractNumId w:val="19"/>
  </w:num>
  <w:num w:numId="6">
    <w:abstractNumId w:val="17"/>
  </w:num>
  <w:num w:numId="7">
    <w:abstractNumId w:val="15"/>
  </w:num>
  <w:num w:numId="8">
    <w:abstractNumId w:val="3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8"/>
  </w:num>
  <w:num w:numId="20">
    <w:abstractNumId w:val="18"/>
  </w:num>
  <w:num w:numId="21">
    <w:abstractNumId w:val="23"/>
  </w:num>
  <w:num w:numId="22">
    <w:abstractNumId w:val="30"/>
  </w:num>
  <w:num w:numId="23">
    <w:abstractNumId w:val="30"/>
  </w:num>
  <w:num w:numId="24">
    <w:abstractNumId w:val="30"/>
  </w:num>
  <w:num w:numId="25">
    <w:abstractNumId w:val="30"/>
  </w:num>
  <w:num w:numId="26">
    <w:abstractNumId w:val="30"/>
  </w:num>
  <w:num w:numId="27">
    <w:abstractNumId w:val="30"/>
  </w:num>
  <w:num w:numId="28">
    <w:abstractNumId w:val="26"/>
  </w:num>
  <w:num w:numId="29">
    <w:abstractNumId w:val="32"/>
  </w:num>
  <w:num w:numId="30">
    <w:abstractNumId w:val="21"/>
  </w:num>
  <w:num w:numId="31">
    <w:abstractNumId w:val="27"/>
  </w:num>
  <w:num w:numId="32">
    <w:abstractNumId w:val="11"/>
  </w:num>
  <w:num w:numId="33">
    <w:abstractNumId w:val="25"/>
  </w:num>
  <w:num w:numId="34">
    <w:abstractNumId w:val="33"/>
  </w:num>
  <w:num w:numId="35">
    <w:abstractNumId w:val="20"/>
  </w:num>
  <w:num w:numId="36">
    <w:abstractNumId w:val="31"/>
  </w:num>
  <w:num w:numId="37">
    <w:abstractNumId w:val="16"/>
  </w:num>
  <w:num w:numId="38">
    <w:abstractNumId w:val="12"/>
  </w:num>
  <w:num w:numId="39">
    <w:abstractNumId w:val="13"/>
  </w:num>
  <w:num w:numId="40">
    <w:abstractNumId w:val="14"/>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E3D"/>
    <w:rsid w:val="0002001F"/>
    <w:rsid w:val="00034007"/>
    <w:rsid w:val="00061A72"/>
    <w:rsid w:val="0006767D"/>
    <w:rsid w:val="00071FFA"/>
    <w:rsid w:val="000A5EED"/>
    <w:rsid w:val="000B7376"/>
    <w:rsid w:val="000C6EFD"/>
    <w:rsid w:val="000E03BB"/>
    <w:rsid w:val="000E4B2B"/>
    <w:rsid w:val="000E700D"/>
    <w:rsid w:val="000E7AD0"/>
    <w:rsid w:val="00143A3D"/>
    <w:rsid w:val="00170A76"/>
    <w:rsid w:val="0018274D"/>
    <w:rsid w:val="00186DA0"/>
    <w:rsid w:val="00191BC1"/>
    <w:rsid w:val="00195792"/>
    <w:rsid w:val="001F3835"/>
    <w:rsid w:val="00236EFB"/>
    <w:rsid w:val="00261FDE"/>
    <w:rsid w:val="00270E91"/>
    <w:rsid w:val="00274F4E"/>
    <w:rsid w:val="00282542"/>
    <w:rsid w:val="002935BB"/>
    <w:rsid w:val="002B0CE8"/>
    <w:rsid w:val="002B5579"/>
    <w:rsid w:val="002C2B21"/>
    <w:rsid w:val="002C30FB"/>
    <w:rsid w:val="002E6FCA"/>
    <w:rsid w:val="00344A74"/>
    <w:rsid w:val="00355188"/>
    <w:rsid w:val="003572C7"/>
    <w:rsid w:val="00396CC8"/>
    <w:rsid w:val="003B6ACA"/>
    <w:rsid w:val="003B7B17"/>
    <w:rsid w:val="003F7D27"/>
    <w:rsid w:val="00413E3B"/>
    <w:rsid w:val="00416AD9"/>
    <w:rsid w:val="00416DA9"/>
    <w:rsid w:val="004213DA"/>
    <w:rsid w:val="00453CC2"/>
    <w:rsid w:val="00457089"/>
    <w:rsid w:val="004B0543"/>
    <w:rsid w:val="004B21B4"/>
    <w:rsid w:val="004F121D"/>
    <w:rsid w:val="00503170"/>
    <w:rsid w:val="00517B84"/>
    <w:rsid w:val="00525058"/>
    <w:rsid w:val="00536998"/>
    <w:rsid w:val="00536F47"/>
    <w:rsid w:val="00542D2C"/>
    <w:rsid w:val="00544A89"/>
    <w:rsid w:val="00557CAC"/>
    <w:rsid w:val="00576924"/>
    <w:rsid w:val="0058483D"/>
    <w:rsid w:val="005B2375"/>
    <w:rsid w:val="005C3D38"/>
    <w:rsid w:val="005E7BED"/>
    <w:rsid w:val="00606F78"/>
    <w:rsid w:val="0061058D"/>
    <w:rsid w:val="00614E2E"/>
    <w:rsid w:val="00670787"/>
    <w:rsid w:val="00696A8F"/>
    <w:rsid w:val="00702CF5"/>
    <w:rsid w:val="00717A02"/>
    <w:rsid w:val="00740D4C"/>
    <w:rsid w:val="0075222E"/>
    <w:rsid w:val="00782231"/>
    <w:rsid w:val="007A4DFC"/>
    <w:rsid w:val="007F5ADA"/>
    <w:rsid w:val="00824BFB"/>
    <w:rsid w:val="00825892"/>
    <w:rsid w:val="0082656D"/>
    <w:rsid w:val="0083137B"/>
    <w:rsid w:val="00840425"/>
    <w:rsid w:val="00841D6F"/>
    <w:rsid w:val="0085554B"/>
    <w:rsid w:val="00867168"/>
    <w:rsid w:val="008A5E95"/>
    <w:rsid w:val="008C3867"/>
    <w:rsid w:val="008C46E8"/>
    <w:rsid w:val="008E1DB4"/>
    <w:rsid w:val="008E7095"/>
    <w:rsid w:val="009007A1"/>
    <w:rsid w:val="00911D03"/>
    <w:rsid w:val="00913F38"/>
    <w:rsid w:val="0092458E"/>
    <w:rsid w:val="00942819"/>
    <w:rsid w:val="00942FF9"/>
    <w:rsid w:val="00952ED4"/>
    <w:rsid w:val="00983E53"/>
    <w:rsid w:val="009A4B7D"/>
    <w:rsid w:val="009D62D6"/>
    <w:rsid w:val="009D7CBF"/>
    <w:rsid w:val="00A14383"/>
    <w:rsid w:val="00A326E3"/>
    <w:rsid w:val="00A36729"/>
    <w:rsid w:val="00A37FAF"/>
    <w:rsid w:val="00A51182"/>
    <w:rsid w:val="00A605D4"/>
    <w:rsid w:val="00A63BFB"/>
    <w:rsid w:val="00A652AF"/>
    <w:rsid w:val="00A71070"/>
    <w:rsid w:val="00A83D9C"/>
    <w:rsid w:val="00A96A9F"/>
    <w:rsid w:val="00A97EE1"/>
    <w:rsid w:val="00AA1474"/>
    <w:rsid w:val="00AA1F5D"/>
    <w:rsid w:val="00AD2402"/>
    <w:rsid w:val="00B01D34"/>
    <w:rsid w:val="00B45080"/>
    <w:rsid w:val="00B4617C"/>
    <w:rsid w:val="00B62778"/>
    <w:rsid w:val="00B75BD2"/>
    <w:rsid w:val="00BB5D71"/>
    <w:rsid w:val="00C06885"/>
    <w:rsid w:val="00C17DEB"/>
    <w:rsid w:val="00C207BA"/>
    <w:rsid w:val="00C5592D"/>
    <w:rsid w:val="00C62478"/>
    <w:rsid w:val="00C63A5F"/>
    <w:rsid w:val="00CA4E3D"/>
    <w:rsid w:val="00CC361D"/>
    <w:rsid w:val="00D03DA8"/>
    <w:rsid w:val="00D26593"/>
    <w:rsid w:val="00D32D51"/>
    <w:rsid w:val="00D5634C"/>
    <w:rsid w:val="00D64185"/>
    <w:rsid w:val="00D660EF"/>
    <w:rsid w:val="00D70474"/>
    <w:rsid w:val="00DA0FDF"/>
    <w:rsid w:val="00DB45DE"/>
    <w:rsid w:val="00DB5406"/>
    <w:rsid w:val="00E309AA"/>
    <w:rsid w:val="00E32AB1"/>
    <w:rsid w:val="00E32E33"/>
    <w:rsid w:val="00E4675E"/>
    <w:rsid w:val="00E5396D"/>
    <w:rsid w:val="00E56060"/>
    <w:rsid w:val="00E717D8"/>
    <w:rsid w:val="00E80B17"/>
    <w:rsid w:val="00EB05C2"/>
    <w:rsid w:val="00EB56E3"/>
    <w:rsid w:val="00EC55FB"/>
    <w:rsid w:val="00EC7B79"/>
    <w:rsid w:val="00EE3C3A"/>
    <w:rsid w:val="00F27087"/>
    <w:rsid w:val="00F55D3D"/>
    <w:rsid w:val="00F6032B"/>
    <w:rsid w:val="00F612D4"/>
    <w:rsid w:val="00F66C80"/>
    <w:rsid w:val="00F74D76"/>
    <w:rsid w:val="00F93A6C"/>
    <w:rsid w:val="00FB23D2"/>
    <w:rsid w:val="00FE3D8D"/>
    <w:rsid w:val="00FF561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List Number" w:qFormat="1"/>
    <w:lsdException w:name="Hyperlink" w:uiPriority="99"/>
    <w:lsdException w:name="Emphasis" w:uiPriority="20"/>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74F4E"/>
    <w:pPr>
      <w:spacing w:after="200" w:line="276" w:lineRule="auto"/>
    </w:pPr>
    <w:rPr>
      <w:rFonts w:ascii="Arial" w:hAnsi="Arial" w:cstheme="minorBidi"/>
      <w:sz w:val="22"/>
    </w:rPr>
  </w:style>
  <w:style w:type="paragraph" w:styleId="Heading1">
    <w:name w:val="heading 1"/>
    <w:basedOn w:val="Normal"/>
    <w:next w:val="Normal"/>
    <w:link w:val="Heading1Char"/>
    <w:qFormat/>
    <w:rsid w:val="000E700D"/>
    <w:pPr>
      <w:keepNext/>
      <w:keepLines/>
      <w:spacing w:after="360"/>
      <w:outlineLvl w:val="0"/>
    </w:pPr>
    <w:rPr>
      <w:rFonts w:eastAsiaTheme="majorEastAsia" w:cstheme="majorBidi"/>
      <w:b/>
      <w:bCs/>
      <w:caps/>
      <w:color w:val="E35205"/>
      <w:sz w:val="28"/>
      <w:szCs w:val="28"/>
    </w:rPr>
  </w:style>
  <w:style w:type="paragraph" w:styleId="Heading2">
    <w:name w:val="heading 2"/>
    <w:basedOn w:val="Normal"/>
    <w:next w:val="Normal"/>
    <w:link w:val="Heading2Char"/>
    <w:unhideWhenUsed/>
    <w:qFormat/>
    <w:rsid w:val="000E700D"/>
    <w:pPr>
      <w:keepNext/>
      <w:keepLines/>
      <w:spacing w:before="240" w:after="0"/>
      <w:outlineLvl w:val="1"/>
    </w:pPr>
    <w:rPr>
      <w:rFonts w:eastAsiaTheme="majorEastAsia" w:cstheme="majorBidi"/>
      <w:b/>
      <w:bCs/>
      <w:caps/>
      <w:color w:val="E35205"/>
      <w:szCs w:val="26"/>
    </w:rPr>
  </w:style>
  <w:style w:type="paragraph" w:styleId="Heading3">
    <w:name w:val="heading 3"/>
    <w:basedOn w:val="Normal"/>
    <w:next w:val="Normal"/>
    <w:link w:val="Heading3Char"/>
    <w:unhideWhenUsed/>
    <w:qFormat/>
    <w:rsid w:val="00274F4E"/>
    <w:pPr>
      <w:spacing w:before="120" w:after="120"/>
      <w:outlineLvl w:val="2"/>
    </w:pPr>
    <w:rPr>
      <w:i/>
      <w:color w:val="E3520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D7CBF"/>
    <w:rPr>
      <w:rFonts w:ascii="Tahoma" w:hAnsi="Tahoma" w:cs="Tahoma"/>
      <w:sz w:val="16"/>
      <w:szCs w:val="16"/>
    </w:rPr>
  </w:style>
  <w:style w:type="character" w:customStyle="1" w:styleId="BalloonTextChar">
    <w:name w:val="Balloon Text Char"/>
    <w:basedOn w:val="DefaultParagraphFont"/>
    <w:link w:val="BalloonText"/>
    <w:rsid w:val="009D7CBF"/>
    <w:rPr>
      <w:rFonts w:ascii="Tahoma" w:hAnsi="Tahoma" w:cs="Tahoma"/>
      <w:sz w:val="16"/>
      <w:szCs w:val="16"/>
      <w:lang w:eastAsia="en-US"/>
    </w:rPr>
  </w:style>
  <w:style w:type="paragraph" w:styleId="Header">
    <w:name w:val="header"/>
    <w:basedOn w:val="Normal"/>
    <w:link w:val="HeaderChar"/>
    <w:rsid w:val="009D7CBF"/>
    <w:pPr>
      <w:tabs>
        <w:tab w:val="center" w:pos="4513"/>
        <w:tab w:val="right" w:pos="9026"/>
      </w:tabs>
    </w:pPr>
  </w:style>
  <w:style w:type="character" w:customStyle="1" w:styleId="HeaderChar">
    <w:name w:val="Header Char"/>
    <w:basedOn w:val="DefaultParagraphFont"/>
    <w:link w:val="Header"/>
    <w:rsid w:val="009D7CBF"/>
    <w:rPr>
      <w:sz w:val="24"/>
      <w:szCs w:val="24"/>
      <w:lang w:eastAsia="en-US"/>
    </w:rPr>
  </w:style>
  <w:style w:type="paragraph" w:styleId="Footer">
    <w:name w:val="footer"/>
    <w:basedOn w:val="Normal"/>
    <w:link w:val="FooterChar"/>
    <w:uiPriority w:val="99"/>
    <w:rsid w:val="009D7CBF"/>
    <w:pPr>
      <w:tabs>
        <w:tab w:val="center" w:pos="4513"/>
        <w:tab w:val="right" w:pos="9026"/>
      </w:tabs>
    </w:pPr>
  </w:style>
  <w:style w:type="character" w:customStyle="1" w:styleId="FooterChar">
    <w:name w:val="Footer Char"/>
    <w:basedOn w:val="DefaultParagraphFont"/>
    <w:link w:val="Footer"/>
    <w:uiPriority w:val="99"/>
    <w:rsid w:val="009D7CBF"/>
    <w:rPr>
      <w:sz w:val="24"/>
      <w:szCs w:val="24"/>
      <w:lang w:eastAsia="en-US"/>
    </w:rPr>
  </w:style>
  <w:style w:type="paragraph" w:styleId="ListParagraph">
    <w:name w:val="List Paragraph"/>
    <w:basedOn w:val="Normal"/>
    <w:uiPriority w:val="34"/>
    <w:qFormat/>
    <w:rsid w:val="00274F4E"/>
    <w:pPr>
      <w:numPr>
        <w:numId w:val="8"/>
      </w:numPr>
      <w:tabs>
        <w:tab w:val="left" w:pos="714"/>
      </w:tabs>
      <w:ind w:left="357" w:hanging="357"/>
      <w:contextualSpacing/>
    </w:pPr>
  </w:style>
  <w:style w:type="character" w:styleId="Hyperlink">
    <w:name w:val="Hyperlink"/>
    <w:basedOn w:val="DefaultParagraphFont"/>
    <w:uiPriority w:val="99"/>
    <w:unhideWhenUsed/>
    <w:rsid w:val="000C6EFD"/>
    <w:rPr>
      <w:color w:val="0000FF" w:themeColor="hyperlink"/>
      <w:u w:val="single"/>
    </w:rPr>
  </w:style>
  <w:style w:type="character" w:styleId="Emphasis">
    <w:name w:val="Emphasis"/>
    <w:uiPriority w:val="20"/>
    <w:rsid w:val="000C6EFD"/>
    <w:rPr>
      <w:caps/>
      <w:color w:val="243F60" w:themeColor="accent1" w:themeShade="7F"/>
      <w:spacing w:val="5"/>
    </w:rPr>
  </w:style>
  <w:style w:type="character" w:customStyle="1" w:styleId="Heading1Char">
    <w:name w:val="Heading 1 Char"/>
    <w:basedOn w:val="DefaultParagraphFont"/>
    <w:link w:val="Heading1"/>
    <w:rsid w:val="000E700D"/>
    <w:rPr>
      <w:rFonts w:ascii="Arial" w:eastAsiaTheme="majorEastAsia" w:hAnsi="Arial" w:cstheme="majorBidi"/>
      <w:b/>
      <w:bCs/>
      <w:caps/>
      <w:color w:val="E35205"/>
      <w:sz w:val="28"/>
      <w:szCs w:val="28"/>
    </w:rPr>
  </w:style>
  <w:style w:type="character" w:styleId="FollowedHyperlink">
    <w:name w:val="FollowedHyperlink"/>
    <w:basedOn w:val="DefaultParagraphFont"/>
    <w:rsid w:val="00717A02"/>
    <w:rPr>
      <w:color w:val="800080" w:themeColor="followedHyperlink"/>
      <w:u w:val="single"/>
    </w:rPr>
  </w:style>
  <w:style w:type="character" w:customStyle="1" w:styleId="Heading2Char">
    <w:name w:val="Heading 2 Char"/>
    <w:basedOn w:val="DefaultParagraphFont"/>
    <w:link w:val="Heading2"/>
    <w:rsid w:val="000E700D"/>
    <w:rPr>
      <w:rFonts w:ascii="Arial" w:eastAsiaTheme="majorEastAsia" w:hAnsi="Arial" w:cstheme="majorBidi"/>
      <w:b/>
      <w:bCs/>
      <w:caps/>
      <w:color w:val="E35205"/>
      <w:sz w:val="22"/>
      <w:szCs w:val="26"/>
    </w:rPr>
  </w:style>
  <w:style w:type="table" w:styleId="TableGrid">
    <w:name w:val="Table Grid"/>
    <w:basedOn w:val="TableNormal"/>
    <w:uiPriority w:val="59"/>
    <w:rsid w:val="000B73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AA1F5D"/>
    <w:pPr>
      <w:spacing w:before="80" w:after="80"/>
    </w:pPr>
    <w:rPr>
      <w:sz w:val="18"/>
      <w:lang w:val="en-US" w:eastAsia="en-US"/>
    </w:rPr>
  </w:style>
  <w:style w:type="paragraph" w:customStyle="1" w:styleId="Tableheadiing">
    <w:name w:val="Table headiing"/>
    <w:basedOn w:val="Tabletext"/>
    <w:qFormat/>
    <w:rsid w:val="00AA1F5D"/>
    <w:rPr>
      <w:b/>
    </w:rPr>
  </w:style>
  <w:style w:type="paragraph" w:customStyle="1" w:styleId="ListParagraph2">
    <w:name w:val="List Paragraph 2"/>
    <w:basedOn w:val="ListParagraph"/>
    <w:next w:val="Normal"/>
    <w:qFormat/>
    <w:rsid w:val="00274F4E"/>
    <w:pPr>
      <w:numPr>
        <w:numId w:val="19"/>
      </w:numPr>
      <w:ind w:left="714" w:hanging="357"/>
    </w:pPr>
    <w:rPr>
      <w:lang w:val="en-US"/>
    </w:rPr>
  </w:style>
  <w:style w:type="character" w:customStyle="1" w:styleId="Heading3Char">
    <w:name w:val="Heading 3 Char"/>
    <w:basedOn w:val="DefaultParagraphFont"/>
    <w:link w:val="Heading3"/>
    <w:rsid w:val="00274F4E"/>
    <w:rPr>
      <w:rFonts w:ascii="Arial" w:eastAsiaTheme="minorEastAsia" w:hAnsi="Arial" w:cstheme="minorBidi"/>
      <w:i/>
      <w:color w:val="E35205"/>
      <w:sz w:val="22"/>
    </w:rPr>
  </w:style>
  <w:style w:type="paragraph" w:styleId="CommentText">
    <w:name w:val="annotation text"/>
    <w:basedOn w:val="Normal"/>
    <w:link w:val="CommentTextChar"/>
    <w:rsid w:val="00CA4E3D"/>
    <w:pPr>
      <w:spacing w:line="240" w:lineRule="auto"/>
    </w:pPr>
    <w:rPr>
      <w:sz w:val="20"/>
    </w:rPr>
  </w:style>
  <w:style w:type="character" w:customStyle="1" w:styleId="CommentTextChar">
    <w:name w:val="Comment Text Char"/>
    <w:basedOn w:val="DefaultParagraphFont"/>
    <w:link w:val="CommentText"/>
    <w:rsid w:val="00CA4E3D"/>
    <w:rPr>
      <w:rFonts w:ascii="Arial" w:eastAsiaTheme="minorEastAsia" w:hAnsi="Arial" w:cstheme="minorBidi"/>
    </w:rPr>
  </w:style>
  <w:style w:type="character" w:styleId="CommentReference">
    <w:name w:val="annotation reference"/>
    <w:basedOn w:val="DefaultParagraphFont"/>
    <w:rsid w:val="00CA4E3D"/>
    <w:rPr>
      <w:sz w:val="16"/>
      <w:szCs w:val="16"/>
    </w:rPr>
  </w:style>
  <w:style w:type="paragraph" w:styleId="FootnoteText">
    <w:name w:val="footnote text"/>
    <w:basedOn w:val="Normal"/>
    <w:link w:val="FootnoteTextChar"/>
    <w:uiPriority w:val="99"/>
    <w:unhideWhenUsed/>
    <w:rsid w:val="00C62478"/>
    <w:pPr>
      <w:spacing w:after="0" w:line="240" w:lineRule="auto"/>
    </w:pPr>
    <w:rPr>
      <w:color w:val="000000" w:themeColor="text1"/>
      <w:sz w:val="16"/>
      <w:lang w:val="en-US" w:eastAsia="en-US"/>
    </w:rPr>
  </w:style>
  <w:style w:type="character" w:customStyle="1" w:styleId="FootnoteTextChar">
    <w:name w:val="Footnote Text Char"/>
    <w:basedOn w:val="DefaultParagraphFont"/>
    <w:link w:val="FootnoteText"/>
    <w:uiPriority w:val="99"/>
    <w:rsid w:val="00C62478"/>
    <w:rPr>
      <w:rFonts w:ascii="Arial" w:eastAsiaTheme="minorEastAsia" w:hAnsi="Arial" w:cstheme="minorBidi"/>
      <w:color w:val="000000" w:themeColor="text1"/>
      <w:sz w:val="16"/>
      <w:lang w:val="en-US" w:eastAsia="en-US"/>
    </w:rPr>
  </w:style>
  <w:style w:type="character" w:styleId="FootnoteReference">
    <w:name w:val="footnote reference"/>
    <w:basedOn w:val="DefaultParagraphFont"/>
    <w:uiPriority w:val="99"/>
    <w:unhideWhenUsed/>
    <w:rsid w:val="008C3867"/>
    <w:rPr>
      <w:rFonts w:ascii="Arial" w:hAnsi="Arial"/>
      <w:sz w:val="18"/>
      <w:vertAlign w:val="superscript"/>
    </w:rPr>
  </w:style>
  <w:style w:type="paragraph" w:styleId="ListNumber">
    <w:name w:val="List Number"/>
    <w:basedOn w:val="ListParagraph"/>
    <w:qFormat/>
    <w:rsid w:val="00B01D34"/>
    <w:pPr>
      <w:numPr>
        <w:numId w:val="14"/>
      </w:numPr>
      <w:ind w:left="357" w:hanging="357"/>
    </w:pPr>
  </w:style>
  <w:style w:type="paragraph" w:styleId="CommentSubject">
    <w:name w:val="annotation subject"/>
    <w:basedOn w:val="CommentText"/>
    <w:next w:val="CommentText"/>
    <w:link w:val="CommentSubjectChar"/>
    <w:rsid w:val="00186DA0"/>
    <w:rPr>
      <w:b/>
      <w:bCs/>
    </w:rPr>
  </w:style>
  <w:style w:type="character" w:customStyle="1" w:styleId="CommentSubjectChar">
    <w:name w:val="Comment Subject Char"/>
    <w:basedOn w:val="CommentTextChar"/>
    <w:link w:val="CommentSubject"/>
    <w:rsid w:val="00186DA0"/>
    <w:rPr>
      <w:rFonts w:ascii="Arial" w:eastAsiaTheme="minorEastAsia" w:hAnsi="Arial" w:cstheme="minorBidi"/>
      <w:b/>
      <w:bCs/>
    </w:rPr>
  </w:style>
  <w:style w:type="paragraph" w:styleId="Revision">
    <w:name w:val="Revision"/>
    <w:hidden/>
    <w:uiPriority w:val="99"/>
    <w:semiHidden/>
    <w:rsid w:val="00186DA0"/>
    <w:rPr>
      <w:rFonts w:ascii="Arial" w:hAnsi="Arial" w:cstheme="minorBidi"/>
      <w:sz w:val="22"/>
    </w:rPr>
  </w:style>
  <w:style w:type="character" w:customStyle="1" w:styleId="shorttext">
    <w:name w:val="short_text"/>
    <w:basedOn w:val="DefaultParagraphFont"/>
    <w:rsid w:val="00DB5406"/>
  </w:style>
  <w:style w:type="character" w:customStyle="1" w:styleId="atn">
    <w:name w:val="atn"/>
    <w:basedOn w:val="DefaultParagraphFont"/>
    <w:rsid w:val="00DB54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List Number" w:qFormat="1"/>
    <w:lsdException w:name="Hyperlink" w:uiPriority="99"/>
    <w:lsdException w:name="Emphasis" w:uiPriority="20"/>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74F4E"/>
    <w:pPr>
      <w:spacing w:after="200" w:line="276" w:lineRule="auto"/>
    </w:pPr>
    <w:rPr>
      <w:rFonts w:ascii="Arial" w:hAnsi="Arial" w:cstheme="minorBidi"/>
      <w:sz w:val="22"/>
    </w:rPr>
  </w:style>
  <w:style w:type="paragraph" w:styleId="Heading1">
    <w:name w:val="heading 1"/>
    <w:basedOn w:val="Normal"/>
    <w:next w:val="Normal"/>
    <w:link w:val="Heading1Char"/>
    <w:qFormat/>
    <w:rsid w:val="000E700D"/>
    <w:pPr>
      <w:keepNext/>
      <w:keepLines/>
      <w:spacing w:after="360"/>
      <w:outlineLvl w:val="0"/>
    </w:pPr>
    <w:rPr>
      <w:rFonts w:eastAsiaTheme="majorEastAsia" w:cstheme="majorBidi"/>
      <w:b/>
      <w:bCs/>
      <w:caps/>
      <w:color w:val="E35205"/>
      <w:sz w:val="28"/>
      <w:szCs w:val="28"/>
    </w:rPr>
  </w:style>
  <w:style w:type="paragraph" w:styleId="Heading2">
    <w:name w:val="heading 2"/>
    <w:basedOn w:val="Normal"/>
    <w:next w:val="Normal"/>
    <w:link w:val="Heading2Char"/>
    <w:unhideWhenUsed/>
    <w:qFormat/>
    <w:rsid w:val="000E700D"/>
    <w:pPr>
      <w:keepNext/>
      <w:keepLines/>
      <w:spacing w:before="240" w:after="0"/>
      <w:outlineLvl w:val="1"/>
    </w:pPr>
    <w:rPr>
      <w:rFonts w:eastAsiaTheme="majorEastAsia" w:cstheme="majorBidi"/>
      <w:b/>
      <w:bCs/>
      <w:caps/>
      <w:color w:val="E35205"/>
      <w:szCs w:val="26"/>
    </w:rPr>
  </w:style>
  <w:style w:type="paragraph" w:styleId="Heading3">
    <w:name w:val="heading 3"/>
    <w:basedOn w:val="Normal"/>
    <w:next w:val="Normal"/>
    <w:link w:val="Heading3Char"/>
    <w:unhideWhenUsed/>
    <w:qFormat/>
    <w:rsid w:val="00274F4E"/>
    <w:pPr>
      <w:spacing w:before="120" w:after="120"/>
      <w:outlineLvl w:val="2"/>
    </w:pPr>
    <w:rPr>
      <w:i/>
      <w:color w:val="E3520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D7CBF"/>
    <w:rPr>
      <w:rFonts w:ascii="Tahoma" w:hAnsi="Tahoma" w:cs="Tahoma"/>
      <w:sz w:val="16"/>
      <w:szCs w:val="16"/>
    </w:rPr>
  </w:style>
  <w:style w:type="character" w:customStyle="1" w:styleId="BalloonTextChar">
    <w:name w:val="Balloon Text Char"/>
    <w:basedOn w:val="DefaultParagraphFont"/>
    <w:link w:val="BalloonText"/>
    <w:rsid w:val="009D7CBF"/>
    <w:rPr>
      <w:rFonts w:ascii="Tahoma" w:hAnsi="Tahoma" w:cs="Tahoma"/>
      <w:sz w:val="16"/>
      <w:szCs w:val="16"/>
      <w:lang w:eastAsia="en-US"/>
    </w:rPr>
  </w:style>
  <w:style w:type="paragraph" w:styleId="Header">
    <w:name w:val="header"/>
    <w:basedOn w:val="Normal"/>
    <w:link w:val="HeaderChar"/>
    <w:rsid w:val="009D7CBF"/>
    <w:pPr>
      <w:tabs>
        <w:tab w:val="center" w:pos="4513"/>
        <w:tab w:val="right" w:pos="9026"/>
      </w:tabs>
    </w:pPr>
  </w:style>
  <w:style w:type="character" w:customStyle="1" w:styleId="HeaderChar">
    <w:name w:val="Header Char"/>
    <w:basedOn w:val="DefaultParagraphFont"/>
    <w:link w:val="Header"/>
    <w:rsid w:val="009D7CBF"/>
    <w:rPr>
      <w:sz w:val="24"/>
      <w:szCs w:val="24"/>
      <w:lang w:eastAsia="en-US"/>
    </w:rPr>
  </w:style>
  <w:style w:type="paragraph" w:styleId="Footer">
    <w:name w:val="footer"/>
    <w:basedOn w:val="Normal"/>
    <w:link w:val="FooterChar"/>
    <w:uiPriority w:val="99"/>
    <w:rsid w:val="009D7CBF"/>
    <w:pPr>
      <w:tabs>
        <w:tab w:val="center" w:pos="4513"/>
        <w:tab w:val="right" w:pos="9026"/>
      </w:tabs>
    </w:pPr>
  </w:style>
  <w:style w:type="character" w:customStyle="1" w:styleId="FooterChar">
    <w:name w:val="Footer Char"/>
    <w:basedOn w:val="DefaultParagraphFont"/>
    <w:link w:val="Footer"/>
    <w:uiPriority w:val="99"/>
    <w:rsid w:val="009D7CBF"/>
    <w:rPr>
      <w:sz w:val="24"/>
      <w:szCs w:val="24"/>
      <w:lang w:eastAsia="en-US"/>
    </w:rPr>
  </w:style>
  <w:style w:type="paragraph" w:styleId="ListParagraph">
    <w:name w:val="List Paragraph"/>
    <w:basedOn w:val="Normal"/>
    <w:uiPriority w:val="34"/>
    <w:qFormat/>
    <w:rsid w:val="00274F4E"/>
    <w:pPr>
      <w:numPr>
        <w:numId w:val="8"/>
      </w:numPr>
      <w:tabs>
        <w:tab w:val="left" w:pos="714"/>
      </w:tabs>
      <w:ind w:left="357" w:hanging="357"/>
      <w:contextualSpacing/>
    </w:pPr>
  </w:style>
  <w:style w:type="character" w:styleId="Hyperlink">
    <w:name w:val="Hyperlink"/>
    <w:basedOn w:val="DefaultParagraphFont"/>
    <w:uiPriority w:val="99"/>
    <w:unhideWhenUsed/>
    <w:rsid w:val="000C6EFD"/>
    <w:rPr>
      <w:color w:val="0000FF" w:themeColor="hyperlink"/>
      <w:u w:val="single"/>
    </w:rPr>
  </w:style>
  <w:style w:type="character" w:styleId="Emphasis">
    <w:name w:val="Emphasis"/>
    <w:uiPriority w:val="20"/>
    <w:rsid w:val="000C6EFD"/>
    <w:rPr>
      <w:caps/>
      <w:color w:val="243F60" w:themeColor="accent1" w:themeShade="7F"/>
      <w:spacing w:val="5"/>
    </w:rPr>
  </w:style>
  <w:style w:type="character" w:customStyle="1" w:styleId="Heading1Char">
    <w:name w:val="Heading 1 Char"/>
    <w:basedOn w:val="DefaultParagraphFont"/>
    <w:link w:val="Heading1"/>
    <w:rsid w:val="000E700D"/>
    <w:rPr>
      <w:rFonts w:ascii="Arial" w:eastAsiaTheme="majorEastAsia" w:hAnsi="Arial" w:cstheme="majorBidi"/>
      <w:b/>
      <w:bCs/>
      <w:caps/>
      <w:color w:val="E35205"/>
      <w:sz w:val="28"/>
      <w:szCs w:val="28"/>
    </w:rPr>
  </w:style>
  <w:style w:type="character" w:styleId="FollowedHyperlink">
    <w:name w:val="FollowedHyperlink"/>
    <w:basedOn w:val="DefaultParagraphFont"/>
    <w:rsid w:val="00717A02"/>
    <w:rPr>
      <w:color w:val="800080" w:themeColor="followedHyperlink"/>
      <w:u w:val="single"/>
    </w:rPr>
  </w:style>
  <w:style w:type="character" w:customStyle="1" w:styleId="Heading2Char">
    <w:name w:val="Heading 2 Char"/>
    <w:basedOn w:val="DefaultParagraphFont"/>
    <w:link w:val="Heading2"/>
    <w:rsid w:val="000E700D"/>
    <w:rPr>
      <w:rFonts w:ascii="Arial" w:eastAsiaTheme="majorEastAsia" w:hAnsi="Arial" w:cstheme="majorBidi"/>
      <w:b/>
      <w:bCs/>
      <w:caps/>
      <w:color w:val="E35205"/>
      <w:sz w:val="22"/>
      <w:szCs w:val="26"/>
    </w:rPr>
  </w:style>
  <w:style w:type="table" w:styleId="TableGrid">
    <w:name w:val="Table Grid"/>
    <w:basedOn w:val="TableNormal"/>
    <w:uiPriority w:val="59"/>
    <w:rsid w:val="000B73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AA1F5D"/>
    <w:pPr>
      <w:spacing w:before="80" w:after="80"/>
    </w:pPr>
    <w:rPr>
      <w:sz w:val="18"/>
      <w:lang w:val="en-US" w:eastAsia="en-US"/>
    </w:rPr>
  </w:style>
  <w:style w:type="paragraph" w:customStyle="1" w:styleId="Tableheadiing">
    <w:name w:val="Table headiing"/>
    <w:basedOn w:val="Tabletext"/>
    <w:qFormat/>
    <w:rsid w:val="00AA1F5D"/>
    <w:rPr>
      <w:b/>
    </w:rPr>
  </w:style>
  <w:style w:type="paragraph" w:customStyle="1" w:styleId="ListParagraph2">
    <w:name w:val="List Paragraph 2"/>
    <w:basedOn w:val="ListParagraph"/>
    <w:next w:val="Normal"/>
    <w:qFormat/>
    <w:rsid w:val="00274F4E"/>
    <w:pPr>
      <w:numPr>
        <w:numId w:val="19"/>
      </w:numPr>
      <w:ind w:left="714" w:hanging="357"/>
    </w:pPr>
    <w:rPr>
      <w:lang w:val="en-US"/>
    </w:rPr>
  </w:style>
  <w:style w:type="character" w:customStyle="1" w:styleId="Heading3Char">
    <w:name w:val="Heading 3 Char"/>
    <w:basedOn w:val="DefaultParagraphFont"/>
    <w:link w:val="Heading3"/>
    <w:rsid w:val="00274F4E"/>
    <w:rPr>
      <w:rFonts w:ascii="Arial" w:eastAsiaTheme="minorEastAsia" w:hAnsi="Arial" w:cstheme="minorBidi"/>
      <w:i/>
      <w:color w:val="E35205"/>
      <w:sz w:val="22"/>
    </w:rPr>
  </w:style>
  <w:style w:type="paragraph" w:styleId="CommentText">
    <w:name w:val="annotation text"/>
    <w:basedOn w:val="Normal"/>
    <w:link w:val="CommentTextChar"/>
    <w:rsid w:val="00CA4E3D"/>
    <w:pPr>
      <w:spacing w:line="240" w:lineRule="auto"/>
    </w:pPr>
    <w:rPr>
      <w:sz w:val="20"/>
    </w:rPr>
  </w:style>
  <w:style w:type="character" w:customStyle="1" w:styleId="CommentTextChar">
    <w:name w:val="Comment Text Char"/>
    <w:basedOn w:val="DefaultParagraphFont"/>
    <w:link w:val="CommentText"/>
    <w:rsid w:val="00CA4E3D"/>
    <w:rPr>
      <w:rFonts w:ascii="Arial" w:eastAsiaTheme="minorEastAsia" w:hAnsi="Arial" w:cstheme="minorBidi"/>
    </w:rPr>
  </w:style>
  <w:style w:type="character" w:styleId="CommentReference">
    <w:name w:val="annotation reference"/>
    <w:basedOn w:val="DefaultParagraphFont"/>
    <w:rsid w:val="00CA4E3D"/>
    <w:rPr>
      <w:sz w:val="16"/>
      <w:szCs w:val="16"/>
    </w:rPr>
  </w:style>
  <w:style w:type="paragraph" w:styleId="FootnoteText">
    <w:name w:val="footnote text"/>
    <w:basedOn w:val="Normal"/>
    <w:link w:val="FootnoteTextChar"/>
    <w:uiPriority w:val="99"/>
    <w:unhideWhenUsed/>
    <w:rsid w:val="00C62478"/>
    <w:pPr>
      <w:spacing w:after="0" w:line="240" w:lineRule="auto"/>
    </w:pPr>
    <w:rPr>
      <w:color w:val="000000" w:themeColor="text1"/>
      <w:sz w:val="16"/>
      <w:lang w:val="en-US" w:eastAsia="en-US"/>
    </w:rPr>
  </w:style>
  <w:style w:type="character" w:customStyle="1" w:styleId="FootnoteTextChar">
    <w:name w:val="Footnote Text Char"/>
    <w:basedOn w:val="DefaultParagraphFont"/>
    <w:link w:val="FootnoteText"/>
    <w:uiPriority w:val="99"/>
    <w:rsid w:val="00C62478"/>
    <w:rPr>
      <w:rFonts w:ascii="Arial" w:eastAsiaTheme="minorEastAsia" w:hAnsi="Arial" w:cstheme="minorBidi"/>
      <w:color w:val="000000" w:themeColor="text1"/>
      <w:sz w:val="16"/>
      <w:lang w:val="en-US" w:eastAsia="en-US"/>
    </w:rPr>
  </w:style>
  <w:style w:type="character" w:styleId="FootnoteReference">
    <w:name w:val="footnote reference"/>
    <w:basedOn w:val="DefaultParagraphFont"/>
    <w:uiPriority w:val="99"/>
    <w:unhideWhenUsed/>
    <w:rsid w:val="008C3867"/>
    <w:rPr>
      <w:rFonts w:ascii="Arial" w:hAnsi="Arial"/>
      <w:sz w:val="18"/>
      <w:vertAlign w:val="superscript"/>
    </w:rPr>
  </w:style>
  <w:style w:type="paragraph" w:styleId="ListNumber">
    <w:name w:val="List Number"/>
    <w:basedOn w:val="ListParagraph"/>
    <w:qFormat/>
    <w:rsid w:val="00B01D34"/>
    <w:pPr>
      <w:numPr>
        <w:numId w:val="14"/>
      </w:numPr>
      <w:ind w:left="357" w:hanging="357"/>
    </w:pPr>
  </w:style>
  <w:style w:type="paragraph" w:styleId="CommentSubject">
    <w:name w:val="annotation subject"/>
    <w:basedOn w:val="CommentText"/>
    <w:next w:val="CommentText"/>
    <w:link w:val="CommentSubjectChar"/>
    <w:rsid w:val="00186DA0"/>
    <w:rPr>
      <w:b/>
      <w:bCs/>
    </w:rPr>
  </w:style>
  <w:style w:type="character" w:customStyle="1" w:styleId="CommentSubjectChar">
    <w:name w:val="Comment Subject Char"/>
    <w:basedOn w:val="CommentTextChar"/>
    <w:link w:val="CommentSubject"/>
    <w:rsid w:val="00186DA0"/>
    <w:rPr>
      <w:rFonts w:ascii="Arial" w:eastAsiaTheme="minorEastAsia" w:hAnsi="Arial" w:cstheme="minorBidi"/>
      <w:b/>
      <w:bCs/>
    </w:rPr>
  </w:style>
  <w:style w:type="paragraph" w:styleId="Revision">
    <w:name w:val="Revision"/>
    <w:hidden/>
    <w:uiPriority w:val="99"/>
    <w:semiHidden/>
    <w:rsid w:val="00186DA0"/>
    <w:rPr>
      <w:rFonts w:ascii="Arial" w:hAnsi="Arial" w:cstheme="minorBidi"/>
      <w:sz w:val="22"/>
    </w:rPr>
  </w:style>
  <w:style w:type="character" w:customStyle="1" w:styleId="shorttext">
    <w:name w:val="short_text"/>
    <w:basedOn w:val="DefaultParagraphFont"/>
    <w:rsid w:val="00DB5406"/>
  </w:style>
  <w:style w:type="character" w:customStyle="1" w:styleId="atn">
    <w:name w:val="atn"/>
    <w:basedOn w:val="DefaultParagraphFont"/>
    <w:rsid w:val="00DB5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83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dfat.gov.au/f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D3448-8A98-48BE-BAE8-8D49D38F0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99515075</Template>
  <TotalTime>0</TotalTime>
  <Pages>2</Pages>
  <Words>1514</Words>
  <Characters>76</Characters>
  <Application>Microsoft Office Word</Application>
  <DocSecurity>0</DocSecurity>
  <Lines>3</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2015-05-13T03:46:00Z</dcterms:created>
  <dcterms:modified xsi:type="dcterms:W3CDTF">2015-05-13T04:21:00Z</dcterms:modified>
</cp:coreProperties>
</file>